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E56A" w14:textId="23FD1828" w:rsidR="00646AC2" w:rsidRPr="002B16FB" w:rsidRDefault="008C74D9" w:rsidP="00D17B52">
      <w:pPr>
        <w:jc w:val="center"/>
      </w:pPr>
      <w:r w:rsidRPr="002B16FB">
        <w:rPr>
          <w:noProof/>
          <w:lang w:val="en-US"/>
        </w:rPr>
        <w:drawing>
          <wp:inline distT="0" distB="0" distL="0" distR="0" wp14:anchorId="3763585C" wp14:editId="09A5E8A4">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2C1DB1" w:rsidRPr="002B16FB">
        <w:rPr>
          <w:noProof/>
          <w:sz w:val="20"/>
          <w:lang w:val="en-US"/>
        </w:rPr>
        <mc:AlternateContent>
          <mc:Choice Requires="wps">
            <w:drawing>
              <wp:anchor distT="0" distB="0" distL="114300" distR="114300" simplePos="0" relativeHeight="251659264" behindDoc="1" locked="0" layoutInCell="0" allowOverlap="1" wp14:anchorId="131133D6" wp14:editId="15FE452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60660" w14:textId="77777777" w:rsidR="002C1DB1" w:rsidRPr="00260E65" w:rsidRDefault="002C1DB1">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133D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45060660" w14:textId="77777777" w:rsidR="002C1DB1" w:rsidRPr="00260E65" w:rsidRDefault="002C1DB1">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5E7A16AD" w14:textId="77777777" w:rsidR="008C74D9" w:rsidRPr="002B16FB" w:rsidRDefault="008C74D9" w:rsidP="00D17B52"/>
    <w:p w14:paraId="5B3BE56B" w14:textId="1757FD7D" w:rsidR="00646AC2" w:rsidRPr="009551E2" w:rsidRDefault="00F74151" w:rsidP="00D17B52">
      <w:pPr>
        <w:jc w:val="right"/>
        <w:rPr>
          <w:lang w:val="sv-SE"/>
        </w:rPr>
      </w:pPr>
      <w:r w:rsidRPr="009551E2">
        <w:rPr>
          <w:b/>
          <w:bCs/>
          <w:lang w:val="sv-SE"/>
        </w:rPr>
        <w:t>INT</w:t>
      </w:r>
      <w:r w:rsidR="03385EDC" w:rsidRPr="009551E2">
        <w:rPr>
          <w:b/>
          <w:bCs/>
          <w:lang w:val="sv-SE"/>
        </w:rPr>
        <w:t>/</w:t>
      </w:r>
      <w:r w:rsidRPr="009551E2">
        <w:rPr>
          <w:b/>
          <w:bCs/>
          <w:lang w:val="sv-SE"/>
        </w:rPr>
        <w:t>1094</w:t>
      </w:r>
    </w:p>
    <w:p w14:paraId="5B3BE56C" w14:textId="6BAD4B85" w:rsidR="00563C84" w:rsidRPr="009551E2" w:rsidRDefault="00F74151" w:rsidP="00D17B52">
      <w:pPr>
        <w:jc w:val="right"/>
        <w:rPr>
          <w:lang w:val="sv-SE"/>
        </w:rPr>
      </w:pPr>
      <w:r w:rsidRPr="009551E2">
        <w:rPr>
          <w:b/>
          <w:bCs/>
          <w:lang w:val="sv-SE"/>
        </w:rPr>
        <w:t>Single Market Strategy</w:t>
      </w:r>
    </w:p>
    <w:p w14:paraId="5B3BE56D" w14:textId="77777777" w:rsidR="009B30AA" w:rsidRPr="009551E2" w:rsidRDefault="009B30AA" w:rsidP="00D17B52">
      <w:pPr>
        <w:rPr>
          <w:lang w:val="sv-SE"/>
        </w:rPr>
      </w:pPr>
    </w:p>
    <w:p w14:paraId="5B3BE56E" w14:textId="77777777" w:rsidR="009B30AA" w:rsidRPr="009551E2" w:rsidRDefault="009B30AA" w:rsidP="00D17B52">
      <w:pPr>
        <w:rPr>
          <w:lang w:val="sv-SE"/>
        </w:rPr>
      </w:pPr>
    </w:p>
    <w:p w14:paraId="3C09B2EE" w14:textId="46398F28" w:rsidR="0048754F" w:rsidRPr="009551E2" w:rsidRDefault="00F14265" w:rsidP="00D17B52">
      <w:pPr>
        <w:jc w:val="center"/>
        <w:rPr>
          <w:b/>
          <w:bCs/>
          <w:sz w:val="28"/>
          <w:szCs w:val="28"/>
          <w:lang w:val="sv-SE"/>
        </w:rPr>
      </w:pPr>
      <w:r w:rsidRPr="009551E2">
        <w:rPr>
          <w:b/>
          <w:bCs/>
          <w:sz w:val="28"/>
          <w:szCs w:val="28"/>
          <w:lang w:val="sv-SE"/>
        </w:rPr>
        <w:t>DRAFT OPINION</w:t>
      </w:r>
    </w:p>
    <w:p w14:paraId="34368F6A" w14:textId="77777777" w:rsidR="0048754F" w:rsidRPr="009551E2" w:rsidRDefault="0048754F" w:rsidP="00D17B52">
      <w:pPr>
        <w:jc w:val="center"/>
        <w:rPr>
          <w:lang w:val="sv-SE"/>
        </w:rPr>
      </w:pPr>
    </w:p>
    <w:p w14:paraId="7D40B1DD" w14:textId="49AFE044" w:rsidR="0048754F" w:rsidRPr="002B16FB" w:rsidRDefault="03385EDC" w:rsidP="00D17B52">
      <w:pPr>
        <w:jc w:val="center"/>
      </w:pPr>
      <w:r w:rsidRPr="002B16FB">
        <w:t xml:space="preserve">Section for </w:t>
      </w:r>
      <w:r w:rsidR="00F74151" w:rsidRPr="002B16FB">
        <w:t>the Single Market, Production and Consumption</w:t>
      </w:r>
      <w:r w:rsidRPr="002B16FB">
        <w:t xml:space="preserve"> </w:t>
      </w:r>
    </w:p>
    <w:p w14:paraId="046C48E8" w14:textId="77777777" w:rsidR="0048754F" w:rsidRPr="002B16FB" w:rsidRDefault="0048754F" w:rsidP="00D17B52">
      <w:pPr>
        <w:jc w:val="center"/>
      </w:pPr>
    </w:p>
    <w:p w14:paraId="4A70DC09" w14:textId="25470613" w:rsidR="00E606C4" w:rsidRPr="002B16FB" w:rsidRDefault="00E606C4" w:rsidP="00D17B52">
      <w:pPr>
        <w:ind w:left="227" w:right="227"/>
        <w:jc w:val="center"/>
        <w:rPr>
          <w:b/>
          <w:bCs/>
        </w:rPr>
      </w:pPr>
      <w:r w:rsidRPr="002B16FB">
        <w:rPr>
          <w:b/>
          <w:bCs/>
        </w:rPr>
        <w:t>Communication from the European Commission to the European Parliament, The Council, the European Economic and Social Committee and the Committee of the Regions</w:t>
      </w:r>
    </w:p>
    <w:p w14:paraId="434917CE" w14:textId="61DF293F" w:rsidR="00E606C4" w:rsidRPr="002B16FB" w:rsidRDefault="00E606C4" w:rsidP="00D17B52">
      <w:pPr>
        <w:jc w:val="center"/>
        <w:rPr>
          <w:b/>
          <w:bCs/>
        </w:rPr>
      </w:pPr>
      <w:r w:rsidRPr="002B16FB">
        <w:rPr>
          <w:b/>
          <w:bCs/>
        </w:rPr>
        <w:t>The Single Market: our European home market in an uncertain world</w:t>
      </w:r>
    </w:p>
    <w:p w14:paraId="69DFD613" w14:textId="382D775E" w:rsidR="0048754F" w:rsidRPr="002B16FB" w:rsidRDefault="00E606C4" w:rsidP="00D17B52">
      <w:pPr>
        <w:jc w:val="center"/>
        <w:rPr>
          <w:b/>
          <w:bCs/>
        </w:rPr>
      </w:pPr>
      <w:r w:rsidRPr="002B16FB">
        <w:rPr>
          <w:b/>
          <w:bCs/>
        </w:rPr>
        <w:t>A Strategy for making the Single Market simple, seamless and strong</w:t>
      </w:r>
    </w:p>
    <w:p w14:paraId="5B3BE56F" w14:textId="2094A698" w:rsidR="00646AC2" w:rsidRPr="002B16FB" w:rsidRDefault="00501A20" w:rsidP="00D17B52">
      <w:pPr>
        <w:jc w:val="center"/>
      </w:pPr>
      <w:r w:rsidRPr="002B16FB">
        <w:t>(</w:t>
      </w:r>
      <w:proofErr w:type="gramStart"/>
      <w:r w:rsidRPr="002B16FB">
        <w:t>COM(</w:t>
      </w:r>
      <w:proofErr w:type="gramEnd"/>
      <w:r w:rsidR="00D00D75" w:rsidRPr="002B16FB">
        <w:t>2025</w:t>
      </w:r>
      <w:r w:rsidRPr="002B16FB">
        <w:t xml:space="preserve">) </w:t>
      </w:r>
      <w:r w:rsidR="00E606C4" w:rsidRPr="002B16FB">
        <w:t>500 final</w:t>
      </w:r>
      <w:r w:rsidRPr="002B16FB">
        <w:t>)</w:t>
      </w:r>
    </w:p>
    <w:p w14:paraId="5B3BE570" w14:textId="77777777" w:rsidR="009B30AA" w:rsidRPr="002B16FB" w:rsidRDefault="009B30AA" w:rsidP="00D17B52">
      <w:pPr>
        <w:jc w:val="center"/>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FF3759" w:rsidRPr="002B16FB" w14:paraId="5B3BE572" w14:textId="77777777" w:rsidTr="03385EDC">
        <w:tc>
          <w:tcPr>
            <w:tcW w:w="9289" w:type="dxa"/>
            <w:gridSpan w:val="2"/>
          </w:tcPr>
          <w:p w14:paraId="5B3BE571" w14:textId="2935BB56" w:rsidR="00FF3759" w:rsidRPr="002B16FB" w:rsidRDefault="03385EDC" w:rsidP="00D17B52">
            <w:pPr>
              <w:jc w:val="left"/>
            </w:pPr>
            <w:r w:rsidRPr="002B16FB">
              <w:t xml:space="preserve">For the attention of the </w:t>
            </w:r>
            <w:r w:rsidR="005567CC" w:rsidRPr="002B16FB">
              <w:t>section</w:t>
            </w:r>
            <w:r w:rsidRPr="002B16FB">
              <w:t xml:space="preserve"> members</w:t>
            </w:r>
          </w:p>
        </w:tc>
      </w:tr>
      <w:tr w:rsidR="00FF3759" w:rsidRPr="002B16FB" w14:paraId="5B3BE574" w14:textId="77777777" w:rsidTr="03385EDC">
        <w:tc>
          <w:tcPr>
            <w:tcW w:w="9289" w:type="dxa"/>
            <w:gridSpan w:val="2"/>
          </w:tcPr>
          <w:p w14:paraId="5B3BE573" w14:textId="77777777" w:rsidR="00FF3759" w:rsidRPr="002B16FB" w:rsidRDefault="00FF3759" w:rsidP="00D17B52">
            <w:pPr>
              <w:jc w:val="left"/>
              <w:rPr>
                <w:lang w:eastAsia="en-GB" w:bidi="en-GB"/>
              </w:rPr>
            </w:pPr>
          </w:p>
        </w:tc>
      </w:tr>
      <w:tr w:rsidR="00FF3759" w:rsidRPr="002B16FB" w14:paraId="5B3BE577" w14:textId="77777777" w:rsidTr="03385EDC">
        <w:tc>
          <w:tcPr>
            <w:tcW w:w="3085" w:type="dxa"/>
          </w:tcPr>
          <w:p w14:paraId="5B3BE575" w14:textId="0D60A8DD" w:rsidR="00FF3759" w:rsidRPr="002B16FB" w:rsidRDefault="005567CC" w:rsidP="00D17B52">
            <w:pPr>
              <w:jc w:val="left"/>
            </w:pPr>
            <w:r w:rsidRPr="002B16FB">
              <w:t>Section</w:t>
            </w:r>
            <w:r w:rsidR="03385EDC" w:rsidRPr="002B16FB">
              <w:t xml:space="preserve"> meeting</w:t>
            </w:r>
          </w:p>
        </w:tc>
        <w:tc>
          <w:tcPr>
            <w:tcW w:w="6204" w:type="dxa"/>
          </w:tcPr>
          <w:p w14:paraId="5B3BE576" w14:textId="5999120D" w:rsidR="00FF3759" w:rsidRPr="002B16FB" w:rsidRDefault="00F14265" w:rsidP="00D17B52">
            <w:pPr>
              <w:jc w:val="left"/>
            </w:pPr>
            <w:r w:rsidRPr="002B16FB">
              <w:t>1</w:t>
            </w:r>
            <w:r w:rsidR="005567CC" w:rsidRPr="002B16FB">
              <w:t>4</w:t>
            </w:r>
            <w:r w:rsidR="03385EDC" w:rsidRPr="002B16FB">
              <w:t>/</w:t>
            </w:r>
            <w:r w:rsidR="005567CC" w:rsidRPr="002B16FB">
              <w:t>11</w:t>
            </w:r>
            <w:r w:rsidR="03385EDC" w:rsidRPr="002B16FB">
              <w:t>/</w:t>
            </w:r>
            <w:r w:rsidR="004E4D4E" w:rsidRPr="002B16FB">
              <w:t>2025</w:t>
            </w:r>
            <w:r w:rsidR="03385EDC" w:rsidRPr="002B16FB">
              <w:t xml:space="preserve">, </w:t>
            </w:r>
            <w:r w:rsidR="002F68C9" w:rsidRPr="002B16FB">
              <w:t>1</w:t>
            </w:r>
            <w:r w:rsidR="005567CC" w:rsidRPr="002B16FB">
              <w:t>0</w:t>
            </w:r>
            <w:r w:rsidR="03385EDC" w:rsidRPr="002B16FB">
              <w:t>:</w:t>
            </w:r>
            <w:r w:rsidR="005567CC" w:rsidRPr="002B16FB">
              <w:t>3</w:t>
            </w:r>
            <w:r w:rsidR="03385EDC" w:rsidRPr="002B16FB">
              <w:t>0</w:t>
            </w:r>
          </w:p>
        </w:tc>
      </w:tr>
      <w:tr w:rsidR="00BC5E8F" w:rsidRPr="002B16FB" w14:paraId="2820AD5C" w14:textId="77777777" w:rsidTr="03385EDC">
        <w:tc>
          <w:tcPr>
            <w:tcW w:w="3085" w:type="dxa"/>
          </w:tcPr>
          <w:p w14:paraId="3E776DEB" w14:textId="4FA76131" w:rsidR="00BC5E8F" w:rsidRPr="002B16FB" w:rsidRDefault="00BC5E8F" w:rsidP="00BC5E8F">
            <w:pPr>
              <w:jc w:val="left"/>
            </w:pPr>
            <w:r w:rsidRPr="002B16FB">
              <w:rPr>
                <w:b/>
              </w:rPr>
              <w:t>Deadline for amendments</w:t>
            </w:r>
          </w:p>
        </w:tc>
        <w:tc>
          <w:tcPr>
            <w:tcW w:w="6204" w:type="dxa"/>
          </w:tcPr>
          <w:p w14:paraId="06C0A904" w14:textId="05C53FA9" w:rsidR="00BC5E8F" w:rsidRPr="002B16FB" w:rsidRDefault="00BC5E8F" w:rsidP="00BC5E8F">
            <w:pPr>
              <w:jc w:val="left"/>
            </w:pPr>
            <w:r w:rsidRPr="002B16FB">
              <w:rPr>
                <w:b/>
              </w:rPr>
              <w:t>11/11/2025, 10:30</w:t>
            </w:r>
          </w:p>
        </w:tc>
      </w:tr>
      <w:tr w:rsidR="00BC5E8F" w:rsidRPr="002B16FB" w14:paraId="5B3BE57A" w14:textId="77777777" w:rsidTr="03385EDC">
        <w:tc>
          <w:tcPr>
            <w:tcW w:w="3085" w:type="dxa"/>
          </w:tcPr>
          <w:p w14:paraId="5B3BE578" w14:textId="77777777" w:rsidR="00BC5E8F" w:rsidRPr="002B16FB" w:rsidRDefault="00BC5E8F" w:rsidP="00BC5E8F">
            <w:pPr>
              <w:jc w:val="left"/>
              <w:rPr>
                <w:lang w:eastAsia="en-GB" w:bidi="en-GB"/>
              </w:rPr>
            </w:pPr>
            <w:r w:rsidRPr="002B16FB">
              <w:t>Contact</w:t>
            </w:r>
          </w:p>
        </w:tc>
        <w:tc>
          <w:tcPr>
            <w:tcW w:w="6204" w:type="dxa"/>
          </w:tcPr>
          <w:p w14:paraId="5B3BE579" w14:textId="70013FB9" w:rsidR="00BC5E8F" w:rsidRPr="002B16FB" w:rsidRDefault="00BC5E8F" w:rsidP="00BC5E8F">
            <w:pPr>
              <w:jc w:val="left"/>
            </w:pPr>
            <w:hyperlink r:id="rId12" w:history="1">
              <w:r w:rsidRPr="002B16FB">
                <w:rPr>
                  <w:rStyle w:val="Hyperlink"/>
                </w:rPr>
                <w:t>int@eesc.europa.eu</w:t>
              </w:r>
            </w:hyperlink>
          </w:p>
        </w:tc>
      </w:tr>
      <w:tr w:rsidR="00BC5E8F" w:rsidRPr="002B16FB" w14:paraId="5B3BE57D" w14:textId="77777777" w:rsidTr="03385EDC">
        <w:tc>
          <w:tcPr>
            <w:tcW w:w="3085" w:type="dxa"/>
          </w:tcPr>
          <w:p w14:paraId="5B3BE57B" w14:textId="77777777" w:rsidR="00BC5E8F" w:rsidRPr="002B16FB" w:rsidRDefault="00BC5E8F" w:rsidP="00BC5E8F">
            <w:pPr>
              <w:jc w:val="left"/>
            </w:pPr>
            <w:r w:rsidRPr="002B16FB">
              <w:t>Administrator</w:t>
            </w:r>
          </w:p>
        </w:tc>
        <w:tc>
          <w:tcPr>
            <w:tcW w:w="6204" w:type="dxa"/>
          </w:tcPr>
          <w:p w14:paraId="5B3BE57C" w14:textId="1E2C2DD1" w:rsidR="00BC5E8F" w:rsidRPr="002B16FB" w:rsidRDefault="00BC5E8F" w:rsidP="00BC5E8F">
            <w:pPr>
              <w:jc w:val="left"/>
            </w:pPr>
            <w:r w:rsidRPr="002B16FB">
              <w:t>Annalisa TESSAROLO</w:t>
            </w:r>
          </w:p>
        </w:tc>
      </w:tr>
      <w:tr w:rsidR="00BC5E8F" w:rsidRPr="002B16FB" w14:paraId="5B3BE580" w14:textId="77777777" w:rsidTr="03385EDC">
        <w:tc>
          <w:tcPr>
            <w:tcW w:w="3085" w:type="dxa"/>
          </w:tcPr>
          <w:p w14:paraId="5B3BE57E" w14:textId="77777777" w:rsidR="00BC5E8F" w:rsidRPr="002B16FB" w:rsidRDefault="00BC5E8F" w:rsidP="00BC5E8F">
            <w:pPr>
              <w:jc w:val="left"/>
            </w:pPr>
            <w:r w:rsidRPr="002B16FB">
              <w:t>Document date</w:t>
            </w:r>
          </w:p>
        </w:tc>
        <w:tc>
          <w:tcPr>
            <w:tcW w:w="6204" w:type="dxa"/>
          </w:tcPr>
          <w:p w14:paraId="5B3BE57F" w14:textId="70509F82" w:rsidR="00BC5E8F" w:rsidRPr="002B16FB" w:rsidRDefault="009779AF" w:rsidP="00BC5E8F">
            <w:pPr>
              <w:jc w:val="left"/>
            </w:pPr>
            <w:r>
              <w:t>6</w:t>
            </w:r>
            <w:r w:rsidR="00BC5E8F" w:rsidRPr="002B16FB">
              <w:t>/</w:t>
            </w:r>
            <w:r>
              <w:t>11</w:t>
            </w:r>
            <w:r w:rsidR="00BC5E8F" w:rsidRPr="002B16FB">
              <w:t>/2025</w:t>
            </w:r>
          </w:p>
        </w:tc>
      </w:tr>
    </w:tbl>
    <w:p w14:paraId="67915520" w14:textId="0615145B" w:rsidR="007D54C2" w:rsidRPr="002B16FB" w:rsidRDefault="03385EDC" w:rsidP="00D17B52">
      <w:pPr>
        <w:jc w:val="center"/>
        <w:rPr>
          <w:bCs/>
        </w:rPr>
      </w:pPr>
      <w:r w:rsidRPr="002B16FB">
        <w:t xml:space="preserve">Rapporteur: </w:t>
      </w:r>
      <w:r w:rsidR="002E4828" w:rsidRPr="002B16FB">
        <w:rPr>
          <w:b/>
          <w:bCs/>
        </w:rPr>
        <w:t>Emilie PROUZET</w:t>
      </w:r>
    </w:p>
    <w:p w14:paraId="7B2ACFE7" w14:textId="624B3C50" w:rsidR="00812061" w:rsidRPr="002B16FB" w:rsidRDefault="002E4828" w:rsidP="00D17B52">
      <w:pPr>
        <w:jc w:val="center"/>
        <w:rPr>
          <w:b/>
          <w:bCs/>
        </w:rPr>
      </w:pPr>
      <w:r w:rsidRPr="002B16FB">
        <w:rPr>
          <w:bCs/>
        </w:rPr>
        <w:t>R</w:t>
      </w:r>
      <w:r w:rsidR="0048754F" w:rsidRPr="002B16FB">
        <w:rPr>
          <w:bCs/>
        </w:rPr>
        <w:t xml:space="preserve">apporteur: </w:t>
      </w:r>
      <w:r w:rsidRPr="002B16FB">
        <w:rPr>
          <w:b/>
          <w:bCs/>
        </w:rPr>
        <w:t>Angelo PAGLIARA</w:t>
      </w:r>
    </w:p>
    <w:p w14:paraId="383E876B" w14:textId="006EB538" w:rsidR="002E4828" w:rsidRPr="002B16FB" w:rsidRDefault="002E4828" w:rsidP="00D17B52">
      <w:pPr>
        <w:jc w:val="center"/>
        <w:rPr>
          <w:bCs/>
        </w:rPr>
      </w:pPr>
      <w:r w:rsidRPr="002B16FB">
        <w:rPr>
          <w:bCs/>
        </w:rPr>
        <w:t xml:space="preserve">Rapporteur: </w:t>
      </w:r>
      <w:r w:rsidRPr="002B16FB">
        <w:rPr>
          <w:b/>
          <w:bCs/>
        </w:rPr>
        <w:t>Giuseppe GUERINI</w:t>
      </w:r>
    </w:p>
    <w:p w14:paraId="5B3BE582" w14:textId="6F8F6800" w:rsidR="00E32DC6" w:rsidRPr="002B16FB" w:rsidRDefault="00E32DC6" w:rsidP="00D17B52"/>
    <w:p w14:paraId="5B3BE583" w14:textId="77777777" w:rsidR="00E32DC6" w:rsidRPr="002B16FB" w:rsidRDefault="00E32DC6" w:rsidP="00D17B52"/>
    <w:p w14:paraId="5B3BE584" w14:textId="77777777" w:rsidR="00E32DC6" w:rsidRPr="002B16FB" w:rsidRDefault="00E32DC6" w:rsidP="00D17B52">
      <w:pPr>
        <w:sectPr w:rsidR="00E32DC6" w:rsidRPr="002B16FB" w:rsidSect="009779A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32"/>
        <w:gridCol w:w="6041"/>
      </w:tblGrid>
      <w:tr w:rsidR="0011656A" w:rsidRPr="002B16FB" w14:paraId="5B3BE588" w14:textId="77777777" w:rsidTr="003B0C32">
        <w:tc>
          <w:tcPr>
            <w:tcW w:w="3032" w:type="dxa"/>
          </w:tcPr>
          <w:p w14:paraId="5B3BE586" w14:textId="77777777" w:rsidR="0011656A" w:rsidRPr="002B16FB" w:rsidRDefault="03385EDC" w:rsidP="00D17B52">
            <w:r w:rsidRPr="002B16FB">
              <w:t>Study Group</w:t>
            </w:r>
          </w:p>
        </w:tc>
        <w:tc>
          <w:tcPr>
            <w:tcW w:w="6041" w:type="dxa"/>
          </w:tcPr>
          <w:p w14:paraId="5B3BE587" w14:textId="5BC05906" w:rsidR="0011656A" w:rsidRPr="002B16FB" w:rsidRDefault="00A642A5" w:rsidP="00D17B52">
            <w:pPr>
              <w:jc w:val="left"/>
            </w:pPr>
            <w:r w:rsidRPr="002B16FB">
              <w:t>Single Market Strategy</w:t>
            </w:r>
          </w:p>
        </w:tc>
      </w:tr>
      <w:tr w:rsidR="00033913" w:rsidRPr="002B16FB" w14:paraId="5B3BE58B" w14:textId="77777777" w:rsidTr="003B0C32">
        <w:tc>
          <w:tcPr>
            <w:tcW w:w="3032" w:type="dxa"/>
          </w:tcPr>
          <w:p w14:paraId="5B3BE589" w14:textId="77777777" w:rsidR="00033913" w:rsidRPr="002B16FB" w:rsidRDefault="00033913" w:rsidP="00D17B52"/>
        </w:tc>
        <w:tc>
          <w:tcPr>
            <w:tcW w:w="6041" w:type="dxa"/>
          </w:tcPr>
          <w:p w14:paraId="5B3BE58A" w14:textId="77777777" w:rsidR="00033913" w:rsidRPr="002B16FB" w:rsidRDefault="00033913" w:rsidP="00D17B52">
            <w:pPr>
              <w:jc w:val="left"/>
            </w:pPr>
          </w:p>
        </w:tc>
      </w:tr>
      <w:tr w:rsidR="0011656A" w:rsidRPr="002B16FB" w14:paraId="5B3BE58E" w14:textId="77777777" w:rsidTr="003B0C32">
        <w:tc>
          <w:tcPr>
            <w:tcW w:w="3032" w:type="dxa"/>
          </w:tcPr>
          <w:p w14:paraId="5B3BE58C" w14:textId="77777777" w:rsidR="0011656A" w:rsidRPr="002B16FB" w:rsidRDefault="03385EDC" w:rsidP="00D17B52">
            <w:r w:rsidRPr="002B16FB">
              <w:t>President</w:t>
            </w:r>
          </w:p>
        </w:tc>
        <w:tc>
          <w:tcPr>
            <w:tcW w:w="6041" w:type="dxa"/>
          </w:tcPr>
          <w:p w14:paraId="5B3BE58D" w14:textId="0501D764" w:rsidR="0011656A" w:rsidRPr="002B16FB" w:rsidRDefault="00A642A5" w:rsidP="00D17B52">
            <w:pPr>
              <w:jc w:val="left"/>
            </w:pPr>
            <w:r w:rsidRPr="002B16FB">
              <w:t>Sandra PARTHIE (DE-I)</w:t>
            </w:r>
          </w:p>
        </w:tc>
      </w:tr>
      <w:tr w:rsidR="0011656A" w:rsidRPr="002B16FB" w14:paraId="5B3BE591" w14:textId="77777777" w:rsidTr="003B0C32">
        <w:tc>
          <w:tcPr>
            <w:tcW w:w="3032" w:type="dxa"/>
          </w:tcPr>
          <w:p w14:paraId="5B3BE58F" w14:textId="77777777" w:rsidR="0011656A" w:rsidRPr="002B16FB" w:rsidRDefault="03385EDC" w:rsidP="00D17B52">
            <w:r w:rsidRPr="002B16FB">
              <w:t>Rapporteur</w:t>
            </w:r>
          </w:p>
        </w:tc>
        <w:tc>
          <w:tcPr>
            <w:tcW w:w="6041" w:type="dxa"/>
          </w:tcPr>
          <w:p w14:paraId="5B3BE590" w14:textId="03DA2AE5" w:rsidR="0011656A" w:rsidRPr="002B16FB" w:rsidRDefault="00A642A5" w:rsidP="00D17B52">
            <w:pPr>
              <w:jc w:val="left"/>
            </w:pPr>
            <w:r w:rsidRPr="002B16FB">
              <w:t>Emilie PROUZET (FR-I)</w:t>
            </w:r>
          </w:p>
        </w:tc>
      </w:tr>
      <w:tr w:rsidR="0069577E" w:rsidRPr="002B16FB" w14:paraId="5B3BE594" w14:textId="77777777" w:rsidTr="003B0C32">
        <w:tc>
          <w:tcPr>
            <w:tcW w:w="3032" w:type="dxa"/>
          </w:tcPr>
          <w:p w14:paraId="5B3BE592" w14:textId="1C05C384" w:rsidR="0069577E" w:rsidRPr="002B16FB" w:rsidRDefault="00A642A5" w:rsidP="00D17B52">
            <w:r w:rsidRPr="002B16FB">
              <w:t>R</w:t>
            </w:r>
            <w:r w:rsidR="03385EDC" w:rsidRPr="002B16FB">
              <w:t>apporteur</w:t>
            </w:r>
          </w:p>
        </w:tc>
        <w:tc>
          <w:tcPr>
            <w:tcW w:w="6041" w:type="dxa"/>
          </w:tcPr>
          <w:p w14:paraId="5B3BE593" w14:textId="31B830E3" w:rsidR="0069577E" w:rsidRPr="002B16FB" w:rsidRDefault="00A642A5" w:rsidP="00D17B52">
            <w:pPr>
              <w:jc w:val="left"/>
            </w:pPr>
            <w:r w:rsidRPr="002B16FB">
              <w:t>Angelo PAGLIARA (IT-II)</w:t>
            </w:r>
          </w:p>
        </w:tc>
      </w:tr>
      <w:tr w:rsidR="00A642A5" w:rsidRPr="002B16FB" w14:paraId="18646AE0" w14:textId="77777777" w:rsidTr="003B0C32">
        <w:tc>
          <w:tcPr>
            <w:tcW w:w="3032" w:type="dxa"/>
          </w:tcPr>
          <w:p w14:paraId="0E7DF78B" w14:textId="23393784" w:rsidR="00A642A5" w:rsidRPr="002B16FB" w:rsidRDefault="00A642A5" w:rsidP="00D17B52">
            <w:r w:rsidRPr="002B16FB">
              <w:t>Rapporteur</w:t>
            </w:r>
          </w:p>
        </w:tc>
        <w:tc>
          <w:tcPr>
            <w:tcW w:w="6041" w:type="dxa"/>
          </w:tcPr>
          <w:p w14:paraId="118E3A6F" w14:textId="56ADC0AA" w:rsidR="00A642A5" w:rsidRPr="002B16FB" w:rsidRDefault="00A642A5" w:rsidP="00D17B52">
            <w:pPr>
              <w:jc w:val="left"/>
            </w:pPr>
            <w:r w:rsidRPr="002B16FB">
              <w:t>Giuseppe GUERINI (IT-III)</w:t>
            </w:r>
          </w:p>
        </w:tc>
      </w:tr>
      <w:tr w:rsidR="008C3049" w:rsidRPr="002B16FB" w14:paraId="5B3BE597" w14:textId="77777777" w:rsidTr="003B0C32">
        <w:tc>
          <w:tcPr>
            <w:tcW w:w="3032" w:type="dxa"/>
          </w:tcPr>
          <w:p w14:paraId="5B3BE595" w14:textId="77777777" w:rsidR="008C3049" w:rsidRPr="002B16FB" w:rsidRDefault="008C3049" w:rsidP="00D17B52"/>
        </w:tc>
        <w:tc>
          <w:tcPr>
            <w:tcW w:w="6041" w:type="dxa"/>
          </w:tcPr>
          <w:p w14:paraId="5B3BE596" w14:textId="77777777" w:rsidR="008C3049" w:rsidRPr="002B16FB" w:rsidRDefault="008C3049" w:rsidP="00D17B52">
            <w:pPr>
              <w:jc w:val="left"/>
            </w:pPr>
          </w:p>
        </w:tc>
      </w:tr>
      <w:tr w:rsidR="0011656A" w:rsidRPr="0081156E" w14:paraId="5B3BE59C" w14:textId="77777777" w:rsidTr="003B0C32">
        <w:tc>
          <w:tcPr>
            <w:tcW w:w="3032" w:type="dxa"/>
          </w:tcPr>
          <w:p w14:paraId="5B3BE598" w14:textId="77777777" w:rsidR="0011656A" w:rsidRPr="002B16FB" w:rsidRDefault="03385EDC" w:rsidP="00D17B52">
            <w:r w:rsidRPr="002B16FB">
              <w:t>Members</w:t>
            </w:r>
          </w:p>
        </w:tc>
        <w:tc>
          <w:tcPr>
            <w:tcW w:w="6041" w:type="dxa"/>
          </w:tcPr>
          <w:p w14:paraId="5B3BE599" w14:textId="12A2C0A6" w:rsidR="0011656A" w:rsidRPr="009551E2" w:rsidRDefault="00CE2D6E" w:rsidP="00D17B52">
            <w:pPr>
              <w:jc w:val="left"/>
              <w:rPr>
                <w:lang w:val="sv-SE"/>
              </w:rPr>
            </w:pPr>
            <w:r w:rsidRPr="009551E2">
              <w:rPr>
                <w:lang w:val="sv-SE"/>
              </w:rPr>
              <w:t>Dirk BERGRATH (DE-II)</w:t>
            </w:r>
          </w:p>
          <w:p w14:paraId="5B3BE59A" w14:textId="318C09C6" w:rsidR="00C737B2" w:rsidRPr="009551E2" w:rsidRDefault="00CE2D6E" w:rsidP="00D17B52">
            <w:pPr>
              <w:jc w:val="left"/>
              <w:rPr>
                <w:lang w:val="sv-SE"/>
              </w:rPr>
            </w:pPr>
            <w:r w:rsidRPr="009551E2">
              <w:rPr>
                <w:lang w:val="sv-SE"/>
              </w:rPr>
              <w:t>Jana HARTMAN RADOVÁ (CZ-</w:t>
            </w:r>
            <w:r w:rsidR="00324397" w:rsidRPr="009551E2">
              <w:rPr>
                <w:lang w:val="sv-SE"/>
              </w:rPr>
              <w:t>I)</w:t>
            </w:r>
          </w:p>
          <w:p w14:paraId="2C5EDFC3" w14:textId="77777777" w:rsidR="00C737B2" w:rsidRPr="009551E2" w:rsidRDefault="00324397" w:rsidP="00D17B52">
            <w:pPr>
              <w:jc w:val="left"/>
              <w:rPr>
                <w:lang w:val="sv-SE"/>
              </w:rPr>
            </w:pPr>
            <w:r w:rsidRPr="009551E2">
              <w:rPr>
                <w:lang w:val="sv-SE"/>
              </w:rPr>
              <w:t>Felipe MEDINA (ES-I)</w:t>
            </w:r>
          </w:p>
          <w:p w14:paraId="3CF1B6D1" w14:textId="77777777" w:rsidR="00324397" w:rsidRPr="009551E2" w:rsidRDefault="0077466F" w:rsidP="00D17B52">
            <w:pPr>
              <w:jc w:val="left"/>
              <w:rPr>
                <w:lang w:val="sv-SE"/>
              </w:rPr>
            </w:pPr>
            <w:r w:rsidRPr="009551E2">
              <w:rPr>
                <w:lang w:val="sv-SE"/>
              </w:rPr>
              <w:t>Veselin MITOV (BG-II)</w:t>
            </w:r>
          </w:p>
          <w:p w14:paraId="2D15C959" w14:textId="10326787" w:rsidR="0077466F" w:rsidRPr="009551E2" w:rsidRDefault="000A0930" w:rsidP="00D17B52">
            <w:pPr>
              <w:jc w:val="left"/>
              <w:rPr>
                <w:sz w:val="18"/>
                <w:lang w:val="sv-SE"/>
              </w:rPr>
            </w:pPr>
            <w:r w:rsidRPr="009551E2">
              <w:rPr>
                <w:lang w:val="sv-SE"/>
              </w:rPr>
              <w:t>José Manuel ROCHE RAMO (ES-III) (</w:t>
            </w:r>
            <w:r w:rsidRPr="009551E2">
              <w:rPr>
                <w:sz w:val="18"/>
                <w:lang w:val="sv-SE"/>
              </w:rPr>
              <w:t>Rule 86(2) – Miguel Ángel CABRA DE LUNA)</w:t>
            </w:r>
          </w:p>
          <w:p w14:paraId="22B330DA" w14:textId="77777777" w:rsidR="000A0930" w:rsidRPr="002B16FB" w:rsidRDefault="000A0930" w:rsidP="00D17B52">
            <w:pPr>
              <w:jc w:val="left"/>
              <w:rPr>
                <w:sz w:val="18"/>
              </w:rPr>
            </w:pPr>
            <w:r w:rsidRPr="002B16FB">
              <w:t xml:space="preserve">Martin SCHAFFENRATH (AT-III) </w:t>
            </w:r>
            <w:r w:rsidRPr="002B16FB">
              <w:rPr>
                <w:sz w:val="18"/>
              </w:rPr>
              <w:t>(Rule 86(2) – Rudolf KOLBE)</w:t>
            </w:r>
          </w:p>
          <w:p w14:paraId="6F2BD63D" w14:textId="77777777" w:rsidR="007E450E" w:rsidRPr="009551E2" w:rsidRDefault="007E450E" w:rsidP="00D17B52">
            <w:pPr>
              <w:jc w:val="left"/>
              <w:rPr>
                <w:lang w:val="de-DE"/>
              </w:rPr>
            </w:pPr>
            <w:r w:rsidRPr="009551E2">
              <w:rPr>
                <w:lang w:val="de-DE"/>
              </w:rPr>
              <w:t>Bernd SCHLÜTER (DE-III)</w:t>
            </w:r>
          </w:p>
          <w:p w14:paraId="7B7A68E6" w14:textId="77777777" w:rsidR="007E450E" w:rsidRPr="009551E2" w:rsidRDefault="007E450E" w:rsidP="00D17B52">
            <w:pPr>
              <w:jc w:val="left"/>
              <w:rPr>
                <w:lang w:val="de-DE"/>
              </w:rPr>
            </w:pPr>
            <w:r w:rsidRPr="009551E2">
              <w:rPr>
                <w:lang w:val="de-DE"/>
              </w:rPr>
              <w:t>Neil WALKER (IE-I)</w:t>
            </w:r>
          </w:p>
          <w:p w14:paraId="138DAA2D" w14:textId="77777777" w:rsidR="007E450E" w:rsidRPr="009551E2" w:rsidRDefault="007E450E" w:rsidP="00D17B52">
            <w:pPr>
              <w:jc w:val="left"/>
              <w:rPr>
                <w:lang w:val="it-IT"/>
              </w:rPr>
            </w:pPr>
            <w:r w:rsidRPr="009551E2">
              <w:rPr>
                <w:lang w:val="it-IT"/>
              </w:rPr>
              <w:t>Berivan ÖNGÖRUR (SE-II)</w:t>
            </w:r>
          </w:p>
          <w:p w14:paraId="5B3BE59B" w14:textId="5610273B" w:rsidR="002C677B" w:rsidRPr="009551E2" w:rsidRDefault="002C677B" w:rsidP="00D17B52">
            <w:pPr>
              <w:jc w:val="left"/>
              <w:rPr>
                <w:lang w:val="it-IT"/>
              </w:rPr>
            </w:pPr>
            <w:r w:rsidRPr="009551E2">
              <w:rPr>
                <w:lang w:val="it-IT"/>
              </w:rPr>
              <w:t>Luigi ULGIATI (IT-Non-affiliated)</w:t>
            </w:r>
          </w:p>
        </w:tc>
      </w:tr>
    </w:tbl>
    <w:p w14:paraId="5B3BE5A3" w14:textId="77777777" w:rsidR="0012220C" w:rsidRPr="009551E2" w:rsidRDefault="0012220C" w:rsidP="00D17B52">
      <w:pPr>
        <w:rPr>
          <w:lang w:val="it-IT"/>
        </w:rPr>
      </w:pPr>
    </w:p>
    <w:tbl>
      <w:tblPr>
        <w:tblW w:w="0" w:type="auto"/>
        <w:tblLook w:val="04A0" w:firstRow="1" w:lastRow="0" w:firstColumn="1" w:lastColumn="0" w:noHBand="0" w:noVBand="1"/>
      </w:tblPr>
      <w:tblGrid>
        <w:gridCol w:w="3055"/>
        <w:gridCol w:w="6018"/>
      </w:tblGrid>
      <w:tr w:rsidR="00DD5640" w:rsidRPr="0081156E" w14:paraId="24249E85" w14:textId="77777777" w:rsidTr="00C356F7">
        <w:trPr>
          <w:trHeight w:val="251"/>
        </w:trPr>
        <w:tc>
          <w:tcPr>
            <w:tcW w:w="3055" w:type="dxa"/>
          </w:tcPr>
          <w:p w14:paraId="1225BDD1" w14:textId="35F58E4A" w:rsidR="00DD5640" w:rsidRPr="002B16FB" w:rsidRDefault="00DD5640" w:rsidP="00D17B52">
            <w:pPr>
              <w:jc w:val="left"/>
            </w:pPr>
            <w:r w:rsidRPr="002B16FB">
              <w:t>Advisor</w:t>
            </w:r>
            <w:r w:rsidR="00C432A1" w:rsidRPr="002B16FB">
              <w:t>s</w:t>
            </w:r>
          </w:p>
        </w:tc>
        <w:tc>
          <w:tcPr>
            <w:tcW w:w="6018" w:type="dxa"/>
          </w:tcPr>
          <w:p w14:paraId="0AA4E56D" w14:textId="06B7382A" w:rsidR="00DD5640" w:rsidRPr="009551E2" w:rsidRDefault="00487F19" w:rsidP="00D17B52">
            <w:pPr>
              <w:jc w:val="left"/>
              <w:rPr>
                <w:lang w:val="it-IT"/>
              </w:rPr>
            </w:pPr>
            <w:r w:rsidRPr="009551E2">
              <w:rPr>
                <w:lang w:val="it-IT"/>
              </w:rPr>
              <w:t xml:space="preserve">Silvia BORELLI </w:t>
            </w:r>
            <w:r w:rsidR="00C432A1" w:rsidRPr="009551E2">
              <w:rPr>
                <w:lang w:val="it-IT"/>
              </w:rPr>
              <w:t>(for rapporteur Angelo PAGLIARA)</w:t>
            </w:r>
          </w:p>
          <w:p w14:paraId="4CEFBCA3" w14:textId="166A8079" w:rsidR="002C677B" w:rsidRPr="009551E2" w:rsidRDefault="002C677B" w:rsidP="00D17B52">
            <w:pPr>
              <w:jc w:val="left"/>
              <w:rPr>
                <w:lang w:val="it-IT"/>
              </w:rPr>
            </w:pPr>
            <w:r w:rsidRPr="009551E2">
              <w:rPr>
                <w:lang w:val="it-IT"/>
              </w:rPr>
              <w:t>Samuel CORNELLA (</w:t>
            </w:r>
            <w:r w:rsidR="008A6937" w:rsidRPr="009551E2">
              <w:rPr>
                <w:lang w:val="it-IT"/>
              </w:rPr>
              <w:t>for</w:t>
            </w:r>
            <w:r w:rsidRPr="009551E2">
              <w:rPr>
                <w:lang w:val="it-IT"/>
              </w:rPr>
              <w:t xml:space="preserve"> rapporteur Giuseppe GUERINI)</w:t>
            </w:r>
          </w:p>
        </w:tc>
      </w:tr>
      <w:tr w:rsidR="00DD5640" w:rsidRPr="0081156E" w14:paraId="35E60D09" w14:textId="77777777" w:rsidTr="00C356F7">
        <w:trPr>
          <w:trHeight w:val="251"/>
        </w:trPr>
        <w:tc>
          <w:tcPr>
            <w:tcW w:w="3055" w:type="dxa"/>
          </w:tcPr>
          <w:p w14:paraId="2CCD6979" w14:textId="77777777" w:rsidR="00DD5640" w:rsidRPr="009551E2" w:rsidRDefault="00DD5640" w:rsidP="00D17B52">
            <w:pPr>
              <w:jc w:val="left"/>
              <w:rPr>
                <w:lang w:val="it-IT"/>
              </w:rPr>
            </w:pPr>
          </w:p>
        </w:tc>
        <w:tc>
          <w:tcPr>
            <w:tcW w:w="6018" w:type="dxa"/>
          </w:tcPr>
          <w:p w14:paraId="5F5408E4" w14:textId="77777777" w:rsidR="00DD5640" w:rsidRPr="009551E2" w:rsidRDefault="00DD5640" w:rsidP="00D17B52">
            <w:pPr>
              <w:jc w:val="left"/>
              <w:rPr>
                <w:lang w:val="it-IT"/>
              </w:rPr>
            </w:pPr>
          </w:p>
        </w:tc>
      </w:tr>
      <w:tr w:rsidR="0013664F" w:rsidRPr="002B16FB" w14:paraId="659CFC45" w14:textId="77777777" w:rsidTr="00C356F7">
        <w:tc>
          <w:tcPr>
            <w:tcW w:w="3055" w:type="dxa"/>
          </w:tcPr>
          <w:p w14:paraId="5D2E214C" w14:textId="10DD26E9" w:rsidR="0013664F" w:rsidRPr="002B16FB" w:rsidRDefault="0013664F" w:rsidP="00D17B52">
            <w:pPr>
              <w:jc w:val="left"/>
            </w:pPr>
            <w:r w:rsidRPr="002B16FB">
              <w:t>Referral</w:t>
            </w:r>
          </w:p>
        </w:tc>
        <w:tc>
          <w:tcPr>
            <w:tcW w:w="6018" w:type="dxa"/>
          </w:tcPr>
          <w:p w14:paraId="4DC04ED4" w14:textId="6D5638D5" w:rsidR="0013664F" w:rsidRPr="002B16FB" w:rsidRDefault="000E0F57" w:rsidP="00D17B52">
            <w:pPr>
              <w:jc w:val="left"/>
            </w:pPr>
            <w:r w:rsidRPr="002B16FB">
              <w:t>European Commission, 14</w:t>
            </w:r>
            <w:r w:rsidR="0013664F" w:rsidRPr="002B16FB">
              <w:t>/</w:t>
            </w:r>
            <w:r w:rsidRPr="002B16FB">
              <w:t>7</w:t>
            </w:r>
            <w:r w:rsidR="0013664F" w:rsidRPr="002B16FB">
              <w:t>/</w:t>
            </w:r>
            <w:r w:rsidRPr="002B16FB">
              <w:t>2025</w:t>
            </w:r>
          </w:p>
        </w:tc>
      </w:tr>
      <w:tr w:rsidR="00C356F7" w:rsidRPr="002B16FB" w14:paraId="5AE3E96C" w14:textId="77777777" w:rsidTr="003B0C32">
        <w:tc>
          <w:tcPr>
            <w:tcW w:w="3055" w:type="dxa"/>
          </w:tcPr>
          <w:p w14:paraId="18AEBE3E" w14:textId="75572D9D" w:rsidR="00C356F7" w:rsidRPr="002B16FB" w:rsidRDefault="00C356F7" w:rsidP="00D17B52">
            <w:pPr>
              <w:jc w:val="left"/>
            </w:pPr>
            <w:r w:rsidRPr="002B16FB">
              <w:t>Legal basis</w:t>
            </w:r>
          </w:p>
        </w:tc>
        <w:tc>
          <w:tcPr>
            <w:tcW w:w="6018" w:type="dxa"/>
          </w:tcPr>
          <w:p w14:paraId="02C501D5" w14:textId="12B95581" w:rsidR="00C356F7" w:rsidRPr="002B16FB" w:rsidRDefault="0013664F" w:rsidP="00D17B52">
            <w:pPr>
              <w:jc w:val="left"/>
            </w:pPr>
            <w:r w:rsidRPr="002B16FB">
              <w:t xml:space="preserve">Article </w:t>
            </w:r>
            <w:r w:rsidR="008A6937" w:rsidRPr="002B16FB">
              <w:t>304</w:t>
            </w:r>
            <w:r w:rsidRPr="002B16FB">
              <w:t xml:space="preserve"> of the Treaty on the Functioning of the European Union</w:t>
            </w:r>
          </w:p>
        </w:tc>
      </w:tr>
      <w:tr w:rsidR="00DF5B64" w:rsidRPr="002B16FB" w14:paraId="5B3BE5C4" w14:textId="77777777" w:rsidTr="003B0C32">
        <w:tc>
          <w:tcPr>
            <w:tcW w:w="3055" w:type="dxa"/>
          </w:tcPr>
          <w:p w14:paraId="5B3BE5C2" w14:textId="77777777" w:rsidR="00DF5B64" w:rsidRPr="002B16FB" w:rsidRDefault="03385EDC" w:rsidP="00D17B52">
            <w:pPr>
              <w:jc w:val="left"/>
            </w:pPr>
            <w:r w:rsidRPr="002B16FB">
              <w:t>Section responsible</w:t>
            </w:r>
          </w:p>
        </w:tc>
        <w:tc>
          <w:tcPr>
            <w:tcW w:w="6018" w:type="dxa"/>
          </w:tcPr>
          <w:p w14:paraId="5B3BE5C3" w14:textId="1BD44FE2" w:rsidR="00DF5B64" w:rsidRPr="002B16FB" w:rsidRDefault="006814AA" w:rsidP="00D17B52">
            <w:pPr>
              <w:jc w:val="left"/>
            </w:pPr>
            <w:r w:rsidRPr="002B16FB">
              <w:t>Section for the Single Market, Production and Consumption</w:t>
            </w:r>
          </w:p>
        </w:tc>
      </w:tr>
      <w:tr w:rsidR="00A156E6" w:rsidRPr="002B16FB" w14:paraId="5B3BE5C7" w14:textId="77777777" w:rsidTr="003B0C32">
        <w:tc>
          <w:tcPr>
            <w:tcW w:w="3055" w:type="dxa"/>
          </w:tcPr>
          <w:p w14:paraId="5B3BE5C5" w14:textId="6F862EC0" w:rsidR="00A156E6" w:rsidRPr="002B16FB" w:rsidRDefault="03385EDC" w:rsidP="00D17B52">
            <w:pPr>
              <w:jc w:val="left"/>
            </w:pPr>
            <w:r w:rsidRPr="002B16FB">
              <w:t>Adopted in section</w:t>
            </w:r>
          </w:p>
        </w:tc>
        <w:tc>
          <w:tcPr>
            <w:tcW w:w="6018" w:type="dxa"/>
          </w:tcPr>
          <w:p w14:paraId="5B3BE5C6" w14:textId="6CB1145A" w:rsidR="00A156E6" w:rsidRPr="002B16FB" w:rsidRDefault="03385EDC" w:rsidP="00D17B52">
            <w:pPr>
              <w:jc w:val="left"/>
            </w:pPr>
            <w:r w:rsidRPr="002B16FB">
              <w:t>D/M/YYYY</w:t>
            </w:r>
          </w:p>
        </w:tc>
      </w:tr>
      <w:tr w:rsidR="00E64E71" w:rsidRPr="002B16FB" w14:paraId="76673220" w14:textId="77777777" w:rsidTr="003B0C32">
        <w:tc>
          <w:tcPr>
            <w:tcW w:w="3055" w:type="dxa"/>
          </w:tcPr>
          <w:p w14:paraId="3C0899C8" w14:textId="0995A3EA" w:rsidR="00E64E71" w:rsidRPr="002B16FB" w:rsidRDefault="03385EDC" w:rsidP="00D17B52">
            <w:pPr>
              <w:jc w:val="left"/>
            </w:pPr>
            <w:r w:rsidRPr="002B16FB">
              <w:t>Outcome of vote</w:t>
            </w:r>
            <w:r w:rsidR="00E64E71" w:rsidRPr="002B16FB">
              <w:br/>
            </w:r>
            <w:r w:rsidRPr="002B16FB">
              <w:t>(for/against/abstentions)</w:t>
            </w:r>
          </w:p>
        </w:tc>
        <w:tc>
          <w:tcPr>
            <w:tcW w:w="6018" w:type="dxa"/>
            <w:vAlign w:val="bottom"/>
          </w:tcPr>
          <w:p w14:paraId="31005FC7" w14:textId="7A3E3C62" w:rsidR="00E64E71" w:rsidRPr="002B16FB" w:rsidRDefault="03385EDC" w:rsidP="00D17B52">
            <w:pPr>
              <w:jc w:val="left"/>
            </w:pPr>
            <w:r w:rsidRPr="002B16FB">
              <w:t>…/…/…</w:t>
            </w:r>
          </w:p>
        </w:tc>
      </w:tr>
      <w:tr w:rsidR="00A156E6" w:rsidRPr="002B16FB" w14:paraId="5B3BE5CA" w14:textId="77777777" w:rsidTr="003B0C32">
        <w:tc>
          <w:tcPr>
            <w:tcW w:w="3055" w:type="dxa"/>
          </w:tcPr>
          <w:p w14:paraId="5B3BE5C8" w14:textId="261924E9" w:rsidR="00A156E6" w:rsidRPr="002B16FB" w:rsidRDefault="03385EDC" w:rsidP="00D17B52">
            <w:pPr>
              <w:jc w:val="left"/>
            </w:pPr>
            <w:r w:rsidRPr="002B16FB">
              <w:t>Adopted at plenary</w:t>
            </w:r>
            <w:r w:rsidR="00342D4A" w:rsidRPr="002B16FB">
              <w:t xml:space="preserve"> session</w:t>
            </w:r>
          </w:p>
        </w:tc>
        <w:tc>
          <w:tcPr>
            <w:tcW w:w="6018" w:type="dxa"/>
          </w:tcPr>
          <w:p w14:paraId="5B3BE5C9" w14:textId="5FDDD67E" w:rsidR="00A156E6" w:rsidRPr="002B16FB" w:rsidRDefault="03385EDC" w:rsidP="00D17B52">
            <w:pPr>
              <w:jc w:val="left"/>
            </w:pPr>
            <w:r w:rsidRPr="002B16FB">
              <w:t>D/M/YYYY</w:t>
            </w:r>
          </w:p>
        </w:tc>
      </w:tr>
      <w:tr w:rsidR="00BA1290" w:rsidRPr="002B16FB" w14:paraId="5B3BE5CD" w14:textId="77777777" w:rsidTr="003B0C32">
        <w:tc>
          <w:tcPr>
            <w:tcW w:w="3055" w:type="dxa"/>
          </w:tcPr>
          <w:p w14:paraId="5B3BE5CB" w14:textId="77777777" w:rsidR="00BA1290" w:rsidRPr="002B16FB" w:rsidRDefault="03385EDC" w:rsidP="00D17B52">
            <w:pPr>
              <w:jc w:val="left"/>
            </w:pPr>
            <w:r w:rsidRPr="002B16FB">
              <w:t>Plenary session No</w:t>
            </w:r>
          </w:p>
        </w:tc>
        <w:tc>
          <w:tcPr>
            <w:tcW w:w="6018" w:type="dxa"/>
          </w:tcPr>
          <w:p w14:paraId="5B3BE5CC" w14:textId="77777777" w:rsidR="00BA1290" w:rsidRPr="002B16FB" w:rsidRDefault="03385EDC" w:rsidP="00D17B52">
            <w:pPr>
              <w:jc w:val="left"/>
            </w:pPr>
            <w:r w:rsidRPr="002B16FB">
              <w:t>…</w:t>
            </w:r>
          </w:p>
        </w:tc>
      </w:tr>
      <w:tr w:rsidR="00A156E6" w:rsidRPr="002B16FB" w14:paraId="5B3BE5D0" w14:textId="77777777" w:rsidTr="003B0C32">
        <w:tc>
          <w:tcPr>
            <w:tcW w:w="3055" w:type="dxa"/>
          </w:tcPr>
          <w:p w14:paraId="5B3BE5CE" w14:textId="0ED6183D" w:rsidR="00D423D4" w:rsidRPr="002B16FB" w:rsidRDefault="03385EDC" w:rsidP="00D17B52">
            <w:pPr>
              <w:jc w:val="left"/>
            </w:pPr>
            <w:r w:rsidRPr="002B16FB">
              <w:t>Outcome of vote</w:t>
            </w:r>
            <w:r w:rsidR="0043024C" w:rsidRPr="002B16FB">
              <w:br/>
            </w:r>
            <w:r w:rsidRPr="002B16FB">
              <w:t>(for/against/abstentions)</w:t>
            </w:r>
          </w:p>
        </w:tc>
        <w:tc>
          <w:tcPr>
            <w:tcW w:w="6018" w:type="dxa"/>
            <w:vAlign w:val="bottom"/>
          </w:tcPr>
          <w:p w14:paraId="5B3BE5CF" w14:textId="77777777" w:rsidR="00A156E6" w:rsidRPr="002B16FB" w:rsidRDefault="03385EDC" w:rsidP="00D17B52">
            <w:pPr>
              <w:jc w:val="left"/>
            </w:pPr>
            <w:r w:rsidRPr="002B16FB">
              <w:t>…/…/…</w:t>
            </w:r>
          </w:p>
        </w:tc>
      </w:tr>
    </w:tbl>
    <w:p w14:paraId="5B3BE5D2" w14:textId="77777777" w:rsidR="00646AC2" w:rsidRPr="002B16FB" w:rsidRDefault="00646AC2" w:rsidP="00D17B52">
      <w:r w:rsidRPr="002B16FB">
        <w:br w:type="page"/>
      </w:r>
    </w:p>
    <w:p w14:paraId="5B3BE5D7" w14:textId="25E919C9" w:rsidR="00011D33" w:rsidRPr="002B16FB" w:rsidRDefault="03385EDC" w:rsidP="00D17B52">
      <w:pPr>
        <w:pStyle w:val="Heading1"/>
        <w:rPr>
          <w:b/>
          <w:bCs/>
        </w:rPr>
      </w:pPr>
      <w:r w:rsidRPr="002B16FB">
        <w:rPr>
          <w:b/>
          <w:bCs/>
        </w:rPr>
        <w:t>Conclusions and recommendations</w:t>
      </w:r>
    </w:p>
    <w:p w14:paraId="5B3BE5DA" w14:textId="204FF908" w:rsidR="00011D33" w:rsidRPr="002B16FB" w:rsidRDefault="00011D33" w:rsidP="00D17B52"/>
    <w:p w14:paraId="324187CE" w14:textId="5C4A0904" w:rsidR="007E7FDD" w:rsidRPr="002B16FB" w:rsidRDefault="007E7FDD" w:rsidP="00C44AEA">
      <w:pPr>
        <w:pStyle w:val="Heading2"/>
      </w:pPr>
      <w:r w:rsidRPr="002B16FB">
        <w:t xml:space="preserve">The European Economic and Social Committee (EESC) fully supports the priorities identified by the Commission, which respond to the challenges raised by stakeholders. It hopes that from now on all efforts will be focused on </w:t>
      </w:r>
      <w:r w:rsidR="00857B80" w:rsidRPr="002B16FB">
        <w:t>implementing them effectively</w:t>
      </w:r>
      <w:r w:rsidRPr="002B16FB">
        <w:t>.</w:t>
      </w:r>
    </w:p>
    <w:p w14:paraId="1703BFDB" w14:textId="77777777" w:rsidR="007E7FDD" w:rsidRPr="002B16FB" w:rsidRDefault="007E7FDD" w:rsidP="007E7FDD"/>
    <w:p w14:paraId="05E3FC1E" w14:textId="52A0F792" w:rsidR="007E7FDD" w:rsidRPr="002B16FB" w:rsidRDefault="007E7FDD" w:rsidP="00C44AEA">
      <w:pPr>
        <w:pStyle w:val="Heading2"/>
      </w:pPr>
      <w:r w:rsidRPr="002B16FB">
        <w:t xml:space="preserve">The EESC reiterates the need for a cohesive European response, capable of ensuring the full inclusion of all territories in the single market and addressing existing asymmetries. In this context, regulatory simplification is a strategic lever, but it must take place with full respect for social and workers’ rights. It is therefore essential that </w:t>
      </w:r>
      <w:r w:rsidR="00130457" w:rsidRPr="002B16FB">
        <w:t>European</w:t>
      </w:r>
      <w:r w:rsidRPr="002B16FB">
        <w:t xml:space="preserve"> and national parliaments and social partners be structurally involved from the early stages of the legislative process, particularly </w:t>
      </w:r>
      <w:proofErr w:type="gramStart"/>
      <w:r w:rsidRPr="002B16FB">
        <w:t>with regard to</w:t>
      </w:r>
      <w:proofErr w:type="gramEnd"/>
      <w:r w:rsidRPr="002B16FB">
        <w:t xml:space="preserve"> the Omnibus packages, on which the EESC will maintain a vigilant stance during adoption.</w:t>
      </w:r>
    </w:p>
    <w:p w14:paraId="164BD049" w14:textId="77777777" w:rsidR="007E7FDD" w:rsidRPr="002B16FB" w:rsidRDefault="007E7FDD" w:rsidP="007E7FDD"/>
    <w:p w14:paraId="75823BA3" w14:textId="7885D94B" w:rsidR="007E7FDD" w:rsidRPr="002B16FB" w:rsidRDefault="007E7FDD" w:rsidP="00C44AEA">
      <w:pPr>
        <w:pStyle w:val="Heading2"/>
      </w:pPr>
      <w:r w:rsidRPr="002B16FB">
        <w:t xml:space="preserve">The EESC intends to contribute more actively to the governance of the single market, including by assuming a strengthened role within the </w:t>
      </w:r>
      <w:r w:rsidR="00E052FB" w:rsidRPr="002B16FB">
        <w:t>Single Market Enforcement Taskforce (</w:t>
      </w:r>
      <w:r w:rsidRPr="002B16FB">
        <w:t>SMET</w:t>
      </w:r>
      <w:r w:rsidR="00E052FB" w:rsidRPr="002B16FB">
        <w:t>)</w:t>
      </w:r>
      <w:r w:rsidRPr="002B16FB">
        <w:t xml:space="preserve"> process, in support of the action of Member States, </w:t>
      </w:r>
      <w:r w:rsidR="00130457" w:rsidRPr="002B16FB">
        <w:t>which</w:t>
      </w:r>
      <w:r w:rsidRPr="002B16FB">
        <w:t xml:space="preserve"> remain central actors in removing barriers.</w:t>
      </w:r>
    </w:p>
    <w:p w14:paraId="2036C21F" w14:textId="77777777" w:rsidR="007E7FDD" w:rsidRPr="002B16FB" w:rsidRDefault="007E7FDD" w:rsidP="007E7FDD"/>
    <w:p w14:paraId="6FC1D3EF" w14:textId="13FF00CE" w:rsidR="007E7FDD" w:rsidRPr="002B16FB" w:rsidRDefault="007E7FDD" w:rsidP="00C44AEA">
      <w:pPr>
        <w:pStyle w:val="Heading2"/>
      </w:pPr>
      <w:proofErr w:type="gramStart"/>
      <w:r w:rsidRPr="0081156E">
        <w:rPr>
          <w:highlight w:val="yellow"/>
        </w:rPr>
        <w:t>In light of</w:t>
      </w:r>
      <w:proofErr w:type="gramEnd"/>
      <w:r w:rsidRPr="0081156E">
        <w:rPr>
          <w:highlight w:val="yellow"/>
        </w:rPr>
        <w:t xml:space="preserve"> growing concerns about the rising cost of living, the EESC calls on the Commission to put forward legislative proposals to address territorial supply constraints and to harmonise product labelling, </w:t>
      </w:r>
      <w:proofErr w:type="gramStart"/>
      <w:r w:rsidRPr="0081156E">
        <w:rPr>
          <w:highlight w:val="yellow"/>
        </w:rPr>
        <w:t>in order to</w:t>
      </w:r>
      <w:proofErr w:type="gramEnd"/>
      <w:r w:rsidRPr="0081156E">
        <w:rPr>
          <w:highlight w:val="yellow"/>
        </w:rPr>
        <w:t xml:space="preserve"> protect consumers and promote fair competition</w:t>
      </w:r>
      <w:r w:rsidRPr="002B16FB">
        <w:t>.</w:t>
      </w:r>
    </w:p>
    <w:p w14:paraId="79EC6C42" w14:textId="77777777" w:rsidR="007E7FDD" w:rsidRPr="002B16FB" w:rsidRDefault="007E7FDD" w:rsidP="007E7FDD"/>
    <w:p w14:paraId="7E022AAA" w14:textId="365BF3D8" w:rsidR="007E7FDD" w:rsidRPr="002B16FB" w:rsidRDefault="007E7FDD" w:rsidP="00C44AEA">
      <w:pPr>
        <w:pStyle w:val="Heading2"/>
      </w:pPr>
      <w:r w:rsidRPr="002B16FB">
        <w:t xml:space="preserve">The EESC welcomes the </w:t>
      </w:r>
      <w:r w:rsidR="002469B8" w:rsidRPr="002B16FB">
        <w:t>Commission</w:t>
      </w:r>
      <w:r w:rsidR="005C0D02" w:rsidRPr="002B16FB">
        <w:t>’</w:t>
      </w:r>
      <w:r w:rsidR="002469B8" w:rsidRPr="002B16FB">
        <w:t xml:space="preserve">s announcement of a </w:t>
      </w:r>
      <w:r w:rsidRPr="002B16FB">
        <w:t xml:space="preserve">proposal for an optional </w:t>
      </w:r>
      <w:r w:rsidR="007C0C7C" w:rsidRPr="002B16FB">
        <w:t>‘</w:t>
      </w:r>
      <w:r w:rsidRPr="002B16FB">
        <w:t>28th regime</w:t>
      </w:r>
      <w:r w:rsidR="007C0C7C" w:rsidRPr="002B16FB">
        <w:t>’</w:t>
      </w:r>
      <w:r w:rsidRPr="002B16FB">
        <w:t xml:space="preserve"> for </w:t>
      </w:r>
      <w:proofErr w:type="gramStart"/>
      <w:r w:rsidRPr="002B16FB">
        <w:t>businesses, but</w:t>
      </w:r>
      <w:proofErr w:type="gramEnd"/>
      <w:r w:rsidRPr="002B16FB">
        <w:t xml:space="preserve"> underlines the need for effective safeguards against potential abuses by ensuring a genuine link between the company’s </w:t>
      </w:r>
      <w:r w:rsidR="003E37C0" w:rsidRPr="002B16FB">
        <w:t>registered headquarters</w:t>
      </w:r>
      <w:r w:rsidRPr="002B16FB">
        <w:t xml:space="preserve"> and its economic activity, as well as full clarity on applicable labour and social standards. Parallel regimes that could circumvent existing rules and distort fair competition must be avoided.</w:t>
      </w:r>
    </w:p>
    <w:p w14:paraId="342BC45A" w14:textId="77777777" w:rsidR="007E7FDD" w:rsidRPr="002B16FB" w:rsidRDefault="007E7FDD" w:rsidP="007E7FDD"/>
    <w:p w14:paraId="0E188FA2" w14:textId="7FA9C32F" w:rsidR="007E7FDD" w:rsidRPr="002B16FB" w:rsidRDefault="007E7FDD" w:rsidP="00C44AEA">
      <w:pPr>
        <w:pStyle w:val="Heading2"/>
      </w:pPr>
      <w:r w:rsidRPr="002B16FB">
        <w:t xml:space="preserve">The EESC recognises the key role of standardisation as a driver of integration and innovation, but stresses that the related processes must be based on principles of transparency, inclusiveness and structured participation, especially </w:t>
      </w:r>
      <w:proofErr w:type="gramStart"/>
      <w:r w:rsidRPr="002B16FB">
        <w:t>in light of</w:t>
      </w:r>
      <w:proofErr w:type="gramEnd"/>
      <w:r w:rsidRPr="002B16FB">
        <w:t xml:space="preserve"> the growing impact of standards in sensitive sectors. It recommends that these principles </w:t>
      </w:r>
      <w:r w:rsidR="003E37C0" w:rsidRPr="002B16FB">
        <w:t>be</w:t>
      </w:r>
      <w:r w:rsidRPr="002B16FB">
        <w:t xml:space="preserve"> fully guaranteed in the forthcoming revision of the standardisation regulation.</w:t>
      </w:r>
    </w:p>
    <w:p w14:paraId="5F4AF2A5" w14:textId="77777777" w:rsidR="007E7FDD" w:rsidRPr="002B16FB" w:rsidRDefault="007E7FDD" w:rsidP="007E7FDD"/>
    <w:p w14:paraId="594B9801" w14:textId="7902003F" w:rsidR="007E7FDD" w:rsidRPr="002B16FB" w:rsidRDefault="007E7FDD" w:rsidP="00C44AEA">
      <w:pPr>
        <w:pStyle w:val="Heading2"/>
      </w:pPr>
      <w:r w:rsidRPr="002B16FB">
        <w:t xml:space="preserve">The EESC supports </w:t>
      </w:r>
      <w:r w:rsidR="003E37C0" w:rsidRPr="002B16FB">
        <w:t>simplifying</w:t>
      </w:r>
      <w:r w:rsidRPr="002B16FB">
        <w:t xml:space="preserve"> the recognition of professional qualifications, including for third-country nationals, but emphasises that qualifications must be clearly defined, verifiable and of proven quality. It expresses concern over the use of self-certification mechanisms, especially in sectors where qualifications directly affect health, safety and public responsibility.</w:t>
      </w:r>
    </w:p>
    <w:p w14:paraId="44134610" w14:textId="77777777" w:rsidR="007E7FDD" w:rsidRPr="002B16FB" w:rsidRDefault="007E7FDD" w:rsidP="007E7FDD"/>
    <w:p w14:paraId="3273BCA3" w14:textId="053A2B43" w:rsidR="007E7FDD" w:rsidRPr="002B16FB" w:rsidRDefault="007E7FDD" w:rsidP="007E7FDD">
      <w:pPr>
        <w:pStyle w:val="Heading2"/>
      </w:pPr>
      <w:r w:rsidRPr="002B16FB">
        <w:t xml:space="preserve">The EESC supports strengthening the European Labour Authority (ELA), recommending that its remit be extended to include situations involving third-country workers, and welcomes the </w:t>
      </w:r>
      <w:r w:rsidR="003E37C0" w:rsidRPr="002B16FB">
        <w:t>expansion</w:t>
      </w:r>
      <w:r w:rsidRPr="002B16FB">
        <w:t xml:space="preserve"> of its operational competences.</w:t>
      </w:r>
    </w:p>
    <w:p w14:paraId="5887D50C" w14:textId="77777777" w:rsidR="007E7FDD" w:rsidRPr="002B16FB" w:rsidRDefault="007E7FDD"/>
    <w:p w14:paraId="37117648" w14:textId="699EA3E9" w:rsidR="007E7FDD" w:rsidRPr="002B16FB" w:rsidRDefault="007E7FDD" w:rsidP="007E7FDD">
      <w:pPr>
        <w:pStyle w:val="Heading2"/>
      </w:pPr>
      <w:proofErr w:type="gramStart"/>
      <w:r w:rsidRPr="002B16FB">
        <w:t>In light of</w:t>
      </w:r>
      <w:proofErr w:type="gramEnd"/>
      <w:r w:rsidRPr="002B16FB">
        <w:t xml:space="preserve"> the Letta report, the EESC calls for the scope of the single market to be extended to strategic sectors such as energy and finance. It underlines the need for an inclusive governance model inspired by the social market </w:t>
      </w:r>
      <w:proofErr w:type="gramStart"/>
      <w:r w:rsidRPr="002B16FB">
        <w:t>economy, and</w:t>
      </w:r>
      <w:proofErr w:type="gramEnd"/>
      <w:r w:rsidRPr="002B16FB">
        <w:t xml:space="preserve"> calls for the revision of public procurement legislation to include simplified procedures and the systematic integration of social conditionalities.</w:t>
      </w:r>
    </w:p>
    <w:p w14:paraId="06031616" w14:textId="77777777" w:rsidR="007E7FDD" w:rsidRPr="002B16FB" w:rsidRDefault="007E7FDD"/>
    <w:p w14:paraId="5B3BE5DB" w14:textId="21F4D42E" w:rsidR="00011D33" w:rsidRPr="002B16FB" w:rsidRDefault="00900DE1" w:rsidP="00D17B52">
      <w:pPr>
        <w:pStyle w:val="Heading1"/>
        <w:keepNext/>
        <w:rPr>
          <w:b/>
          <w:bCs/>
        </w:rPr>
      </w:pPr>
      <w:r w:rsidRPr="002B16FB">
        <w:rPr>
          <w:b/>
          <w:bCs/>
        </w:rPr>
        <w:t>Introduction and context</w:t>
      </w:r>
    </w:p>
    <w:p w14:paraId="5B3BE5DC" w14:textId="77777777" w:rsidR="00011D33" w:rsidRPr="002B16FB" w:rsidRDefault="00011D33" w:rsidP="00D17B52">
      <w:pPr>
        <w:keepNext/>
      </w:pPr>
    </w:p>
    <w:p w14:paraId="41FFA316" w14:textId="7CD36354" w:rsidR="00900DE1" w:rsidRPr="002B16FB" w:rsidRDefault="00900DE1" w:rsidP="00D17B52">
      <w:pPr>
        <w:pStyle w:val="Heading2"/>
      </w:pPr>
      <w:r w:rsidRPr="002B16FB">
        <w:t xml:space="preserve">On </w:t>
      </w:r>
      <w:r w:rsidR="00E53DB9" w:rsidRPr="002B16FB">
        <w:t>21</w:t>
      </w:r>
      <w:r w:rsidR="00D17B52" w:rsidRPr="002B16FB">
        <w:t xml:space="preserve"> </w:t>
      </w:r>
      <w:r w:rsidRPr="002B16FB">
        <w:t xml:space="preserve">May 2025, the Commission published its Communication titled </w:t>
      </w:r>
      <w:r w:rsidRPr="002B16FB">
        <w:rPr>
          <w:i/>
          <w:iCs/>
        </w:rPr>
        <w:t>The Single Market: our European home market in an uncertain world. A Strategy for making the Single Market simple, seamless and strong</w:t>
      </w:r>
      <w:r w:rsidRPr="002B16FB">
        <w:t>.</w:t>
      </w:r>
    </w:p>
    <w:p w14:paraId="072055A4" w14:textId="77777777" w:rsidR="00900DE1" w:rsidRPr="002B16FB" w:rsidRDefault="00900DE1" w:rsidP="00D17B52">
      <w:pPr>
        <w:pStyle w:val="Heading2"/>
        <w:numPr>
          <w:ilvl w:val="0"/>
          <w:numId w:val="0"/>
        </w:numPr>
      </w:pPr>
    </w:p>
    <w:p w14:paraId="7E823576" w14:textId="02BF0C31" w:rsidR="00900DE1" w:rsidRPr="002B16FB" w:rsidRDefault="00900DE1" w:rsidP="00D17B52">
      <w:pPr>
        <w:pStyle w:val="Heading2"/>
      </w:pPr>
      <w:r w:rsidRPr="002B16FB">
        <w:t>The document covers the following pillars: i) fewer barriers</w:t>
      </w:r>
      <w:r w:rsidR="00E66C90" w:rsidRPr="002B16FB">
        <w:t>,</w:t>
      </w:r>
      <w:r w:rsidRPr="002B16FB">
        <w:t xml:space="preserve"> ii) a new approach to boosting European services</w:t>
      </w:r>
      <w:r w:rsidR="00E66C90" w:rsidRPr="002B16FB">
        <w:t>,</w:t>
      </w:r>
      <w:r w:rsidRPr="002B16FB">
        <w:t xml:space="preserve"> iii) more focus on small and medium-sized enterprises (SMEs) including innovative start</w:t>
      </w:r>
      <w:r w:rsidR="00E66C90" w:rsidRPr="002B16FB">
        <w:t>-</w:t>
      </w:r>
      <w:r w:rsidRPr="002B16FB">
        <w:t>ups and scale</w:t>
      </w:r>
      <w:r w:rsidR="00E66C90" w:rsidRPr="002B16FB">
        <w:t>-</w:t>
      </w:r>
      <w:r w:rsidRPr="002B16FB">
        <w:t>ups</w:t>
      </w:r>
      <w:r w:rsidR="00E66C90" w:rsidRPr="002B16FB">
        <w:t>,</w:t>
      </w:r>
      <w:r w:rsidRPr="002B16FB">
        <w:t xml:space="preserve"> iv)</w:t>
      </w:r>
      <w:r w:rsidR="00827CC6" w:rsidRPr="002B16FB">
        <w:t xml:space="preserve"> </w:t>
      </w:r>
      <w:r w:rsidRPr="002B16FB">
        <w:t>more effective digitali</w:t>
      </w:r>
      <w:r w:rsidR="00DE01D8" w:rsidRPr="002B16FB">
        <w:t>s</w:t>
      </w:r>
      <w:r w:rsidRPr="002B16FB">
        <w:t>ation</w:t>
      </w:r>
      <w:r w:rsidR="00E66C90" w:rsidRPr="002B16FB">
        <w:t>,</w:t>
      </w:r>
      <w:r w:rsidRPr="002B16FB">
        <w:t xml:space="preserve"> v) more simplification</w:t>
      </w:r>
      <w:r w:rsidR="00E66C90" w:rsidRPr="002B16FB">
        <w:t>,</w:t>
      </w:r>
      <w:r w:rsidRPr="002B16FB">
        <w:t xml:space="preserve"> vi)</w:t>
      </w:r>
      <w:r w:rsidR="00827CC6" w:rsidRPr="002B16FB">
        <w:t xml:space="preserve"> </w:t>
      </w:r>
      <w:r w:rsidRPr="002B16FB">
        <w:t>more effective implementation and enforcement</w:t>
      </w:r>
      <w:r w:rsidR="00E66C90" w:rsidRPr="002B16FB">
        <w:t>,</w:t>
      </w:r>
      <w:r w:rsidRPr="002B16FB">
        <w:t xml:space="preserve"> vi) more ownership: increasing political and national engagement</w:t>
      </w:r>
      <w:r w:rsidR="00E66C90" w:rsidRPr="002B16FB">
        <w:t>,</w:t>
      </w:r>
      <w:r w:rsidRPr="002B16FB">
        <w:t xml:space="preserve"> vii) more synergy: paradigm shift in EU spending</w:t>
      </w:r>
      <w:r w:rsidR="00E66C90" w:rsidRPr="002B16FB">
        <w:t xml:space="preserve"> and</w:t>
      </w:r>
      <w:r w:rsidRPr="002B16FB">
        <w:t xml:space="preserve"> viii) more protection: acting as a shield </w:t>
      </w:r>
      <w:r w:rsidR="00E66C90" w:rsidRPr="002B16FB">
        <w:t xml:space="preserve">against </w:t>
      </w:r>
      <w:r w:rsidRPr="002B16FB">
        <w:t>unfair trade practices.</w:t>
      </w:r>
    </w:p>
    <w:p w14:paraId="5B3BE5DE" w14:textId="77777777" w:rsidR="00011D33" w:rsidRPr="002B16FB" w:rsidRDefault="00011D33" w:rsidP="00C44AEA">
      <w:pPr>
        <w:pStyle w:val="Heading2"/>
        <w:numPr>
          <w:ilvl w:val="0"/>
          <w:numId w:val="0"/>
        </w:numPr>
        <w:ind w:left="567"/>
      </w:pPr>
    </w:p>
    <w:p w14:paraId="5B3BE5E3" w14:textId="1326405A" w:rsidR="00011D33" w:rsidRPr="002B16FB" w:rsidRDefault="00900DE1" w:rsidP="00D17B52">
      <w:pPr>
        <w:pStyle w:val="Heading1"/>
        <w:keepNext/>
        <w:rPr>
          <w:b/>
          <w:bCs/>
        </w:rPr>
      </w:pPr>
      <w:r w:rsidRPr="002B16FB">
        <w:rPr>
          <w:b/>
          <w:bCs/>
        </w:rPr>
        <w:t>General comments</w:t>
      </w:r>
    </w:p>
    <w:p w14:paraId="3D7F8946" w14:textId="3F002EBA" w:rsidR="00900DE1" w:rsidRPr="002B16FB" w:rsidRDefault="00900DE1" w:rsidP="00D17B52">
      <w:pPr>
        <w:keepNext/>
      </w:pPr>
    </w:p>
    <w:p w14:paraId="6B41802D" w14:textId="1726E5FB" w:rsidR="00883F0B" w:rsidRPr="002B16FB" w:rsidRDefault="00883F0B" w:rsidP="00D17B52">
      <w:pPr>
        <w:ind w:left="567"/>
      </w:pPr>
      <w:r w:rsidRPr="002B16FB">
        <w:t xml:space="preserve">The EESC praises the </w:t>
      </w:r>
      <w:r w:rsidR="00E66C90" w:rsidRPr="002B16FB">
        <w:t>s</w:t>
      </w:r>
      <w:r w:rsidRPr="002B16FB">
        <w:t xml:space="preserve">ingle </w:t>
      </w:r>
      <w:r w:rsidR="00E66C90" w:rsidRPr="002B16FB">
        <w:t>m</w:t>
      </w:r>
      <w:r w:rsidRPr="002B16FB">
        <w:t xml:space="preserve">arket as one of the main achievements of the European integration process, both technically and politically, which ensures prosperity and solidarity for EU citizens. However, the </w:t>
      </w:r>
      <w:r w:rsidR="00E66C90" w:rsidRPr="002B16FB">
        <w:t>s</w:t>
      </w:r>
      <w:r w:rsidRPr="002B16FB">
        <w:t xml:space="preserve">ingle </w:t>
      </w:r>
      <w:r w:rsidR="00E66C90" w:rsidRPr="002B16FB">
        <w:t>m</w:t>
      </w:r>
      <w:r w:rsidRPr="002B16FB">
        <w:t>arket needs to be further strengthened and consolidated through concrete actions, as highlighted by the Commission in its strategy.</w:t>
      </w:r>
    </w:p>
    <w:p w14:paraId="4ADF2898" w14:textId="77777777" w:rsidR="00883F0B" w:rsidRPr="002B16FB" w:rsidRDefault="00883F0B" w:rsidP="00D17B52">
      <w:pPr>
        <w:ind w:left="567"/>
      </w:pPr>
    </w:p>
    <w:p w14:paraId="050D7DCD" w14:textId="5DC0896A" w:rsidR="00900DE1" w:rsidRPr="002B16FB" w:rsidRDefault="00883F0B" w:rsidP="00D17B52">
      <w:pPr>
        <w:ind w:left="567"/>
      </w:pPr>
      <w:r w:rsidRPr="002B16FB">
        <w:t>The EESC shares the priorities identified by the Commission, which respond to the challenges raised by all stakeholders for many years.</w:t>
      </w:r>
    </w:p>
    <w:p w14:paraId="6E2C1C46" w14:textId="77777777" w:rsidR="00883F0B" w:rsidRPr="002B16FB" w:rsidRDefault="00883F0B" w:rsidP="00D17B52">
      <w:pPr>
        <w:ind w:left="567"/>
      </w:pPr>
    </w:p>
    <w:p w14:paraId="5B3BE5E4" w14:textId="2C4CE224" w:rsidR="00011D33" w:rsidRPr="002B16FB" w:rsidRDefault="00883F0B" w:rsidP="00D17B52">
      <w:pPr>
        <w:pStyle w:val="Heading2"/>
        <w:keepNext/>
        <w:rPr>
          <w:b/>
          <w:bCs/>
        </w:rPr>
      </w:pPr>
      <w:r w:rsidRPr="002B16FB">
        <w:rPr>
          <w:b/>
          <w:bCs/>
        </w:rPr>
        <w:t>Simplification and competitiveness in a coherent regulatory framework</w:t>
      </w:r>
    </w:p>
    <w:p w14:paraId="1C8C58EB" w14:textId="7750DA8F" w:rsidR="00883F0B" w:rsidRPr="002B16FB" w:rsidRDefault="00883F0B" w:rsidP="00D17B52">
      <w:pPr>
        <w:keepNext/>
      </w:pPr>
    </w:p>
    <w:p w14:paraId="7D004FBC" w14:textId="52ECD3D9" w:rsidR="00883F0B" w:rsidRPr="0081156E" w:rsidRDefault="00883F0B" w:rsidP="00D17B52">
      <w:pPr>
        <w:pStyle w:val="Heading3"/>
        <w:rPr>
          <w:highlight w:val="yellow"/>
        </w:rPr>
      </w:pPr>
      <w:r w:rsidRPr="0081156E">
        <w:rPr>
          <w:highlight w:val="yellow"/>
        </w:rPr>
        <w:t>The EESC emphasi</w:t>
      </w:r>
      <w:r w:rsidR="00DE01D8" w:rsidRPr="0081156E">
        <w:rPr>
          <w:highlight w:val="yellow"/>
        </w:rPr>
        <w:t>s</w:t>
      </w:r>
      <w:r w:rsidRPr="0081156E">
        <w:rPr>
          <w:highlight w:val="yellow"/>
        </w:rPr>
        <w:t xml:space="preserve">es the importance of the </w:t>
      </w:r>
      <w:r w:rsidR="00E66C90" w:rsidRPr="0081156E">
        <w:rPr>
          <w:highlight w:val="yellow"/>
        </w:rPr>
        <w:t>s</w:t>
      </w:r>
      <w:r w:rsidRPr="0081156E">
        <w:rPr>
          <w:highlight w:val="yellow"/>
        </w:rPr>
        <w:t xml:space="preserve">ingle </w:t>
      </w:r>
      <w:r w:rsidR="00E66C90" w:rsidRPr="0081156E">
        <w:rPr>
          <w:highlight w:val="yellow"/>
        </w:rPr>
        <w:t>m</w:t>
      </w:r>
      <w:r w:rsidRPr="0081156E">
        <w:rPr>
          <w:highlight w:val="yellow"/>
        </w:rPr>
        <w:t xml:space="preserve">arket as a factor of stability, resilience and </w:t>
      </w:r>
      <w:r w:rsidR="00E66C90" w:rsidRPr="0081156E">
        <w:rPr>
          <w:highlight w:val="yellow"/>
        </w:rPr>
        <w:t xml:space="preserve">the </w:t>
      </w:r>
      <w:r w:rsidRPr="0081156E">
        <w:rPr>
          <w:highlight w:val="yellow"/>
        </w:rPr>
        <w:t xml:space="preserve">necessary </w:t>
      </w:r>
      <w:r w:rsidR="00E66C90" w:rsidRPr="0081156E">
        <w:rPr>
          <w:highlight w:val="yellow"/>
        </w:rPr>
        <w:t>‘</w:t>
      </w:r>
      <w:r w:rsidRPr="0081156E">
        <w:rPr>
          <w:highlight w:val="yellow"/>
        </w:rPr>
        <w:t>minimum significant size</w:t>
      </w:r>
      <w:r w:rsidR="00E66C90" w:rsidRPr="0081156E">
        <w:rPr>
          <w:highlight w:val="yellow"/>
        </w:rPr>
        <w:t>’</w:t>
      </w:r>
      <w:r w:rsidRPr="0081156E">
        <w:rPr>
          <w:highlight w:val="yellow"/>
        </w:rPr>
        <w:t xml:space="preserve"> in the current global context,</w:t>
      </w:r>
      <w:r w:rsidR="00E66C90" w:rsidRPr="0081156E">
        <w:rPr>
          <w:highlight w:val="yellow"/>
        </w:rPr>
        <w:t xml:space="preserve"> which is</w:t>
      </w:r>
      <w:r w:rsidRPr="0081156E">
        <w:rPr>
          <w:highlight w:val="yellow"/>
        </w:rPr>
        <w:t xml:space="preserve"> marked by strong geopolitical and trade tensions. These challenges require a unified European response in a changed and uncertain environment.</w:t>
      </w:r>
    </w:p>
    <w:p w14:paraId="0FFFE08D" w14:textId="77777777" w:rsidR="00883F0B" w:rsidRPr="002B16FB" w:rsidRDefault="00883F0B" w:rsidP="00D17B52"/>
    <w:p w14:paraId="73DDA731" w14:textId="7DA2C2A1" w:rsidR="00883F0B" w:rsidRPr="002B16FB" w:rsidRDefault="00883F0B" w:rsidP="00D17B52">
      <w:pPr>
        <w:pStyle w:val="Heading3"/>
      </w:pPr>
      <w:r w:rsidRPr="002B16FB">
        <w:t xml:space="preserve">The EESC calls for a more competitive and simplified </w:t>
      </w:r>
      <w:r w:rsidR="00E66C90" w:rsidRPr="002B16FB">
        <w:t>s</w:t>
      </w:r>
      <w:r w:rsidRPr="002B16FB">
        <w:t xml:space="preserve">ingle </w:t>
      </w:r>
      <w:r w:rsidR="00E66C90" w:rsidRPr="002B16FB">
        <w:t>m</w:t>
      </w:r>
      <w:r w:rsidRPr="002B16FB">
        <w:t>arket</w:t>
      </w:r>
      <w:r w:rsidR="00E66C90" w:rsidRPr="002B16FB">
        <w:t xml:space="preserve">, </w:t>
      </w:r>
      <w:r w:rsidRPr="002B16FB">
        <w:t>as promoted in the Draghi and Letta reports and currently pursued by the Commission</w:t>
      </w:r>
      <w:r w:rsidR="00E66C90" w:rsidRPr="002B16FB">
        <w:t xml:space="preserve">, </w:t>
      </w:r>
      <w:r w:rsidRPr="002B16FB">
        <w:t>while also underlining the need to maintain an effective and robust cohesion policy capable of ensuring the full inclusion of all territories within the single market and address</w:t>
      </w:r>
      <w:r w:rsidR="00E66C90" w:rsidRPr="002B16FB">
        <w:t>ing</w:t>
      </w:r>
      <w:r w:rsidRPr="002B16FB">
        <w:t xml:space="preserve"> the existing </w:t>
      </w:r>
      <w:r w:rsidR="00DE01D8" w:rsidRPr="002B16FB">
        <w:t>asymmetries</w:t>
      </w:r>
      <w:r w:rsidR="002469B8" w:rsidRPr="002B16FB">
        <w:t xml:space="preserve"> and supporting the green and social transition</w:t>
      </w:r>
      <w:r w:rsidRPr="002B16FB">
        <w:t>.</w:t>
      </w:r>
    </w:p>
    <w:p w14:paraId="0A209F3E" w14:textId="3B61DBB6" w:rsidR="00883F0B" w:rsidRPr="002B16FB" w:rsidRDefault="00883F0B" w:rsidP="00D17B52"/>
    <w:p w14:paraId="78A80B55" w14:textId="3BDA30BB" w:rsidR="00883F0B" w:rsidRPr="002B16FB" w:rsidRDefault="00883F0B" w:rsidP="00D17B52">
      <w:pPr>
        <w:pStyle w:val="Heading3"/>
      </w:pPr>
      <w:r w:rsidRPr="002B16FB">
        <w:t xml:space="preserve">From the perspective of a more competitive and simplified single market, the EESC once again </w:t>
      </w:r>
      <w:r w:rsidRPr="0081156E">
        <w:rPr>
          <w:highlight w:val="yellow"/>
        </w:rPr>
        <w:t xml:space="preserve">underlines the strategic importance of effectively applying the competitiveness check and impact assessment </w:t>
      </w:r>
      <w:r w:rsidR="00E66C90" w:rsidRPr="0081156E">
        <w:rPr>
          <w:highlight w:val="yellow"/>
        </w:rPr>
        <w:t xml:space="preserve">to </w:t>
      </w:r>
      <w:r w:rsidRPr="0081156E">
        <w:rPr>
          <w:highlight w:val="yellow"/>
        </w:rPr>
        <w:t>regulations</w:t>
      </w:r>
      <w:r w:rsidRPr="002B16FB">
        <w:t xml:space="preserve">. </w:t>
      </w:r>
    </w:p>
    <w:p w14:paraId="61C7C718" w14:textId="77777777" w:rsidR="00883F0B" w:rsidRPr="002B16FB" w:rsidRDefault="00883F0B" w:rsidP="00D17B52"/>
    <w:p w14:paraId="482DD071" w14:textId="4D82D613" w:rsidR="00883F0B" w:rsidRPr="0081156E" w:rsidRDefault="00680874" w:rsidP="00D17B52">
      <w:pPr>
        <w:pStyle w:val="Heading3"/>
        <w:rPr>
          <w:highlight w:val="green"/>
        </w:rPr>
      </w:pPr>
      <w:r w:rsidRPr="0081156E">
        <w:rPr>
          <w:highlight w:val="green"/>
        </w:rPr>
        <w:t>Such simplification measures should not affect the high social</w:t>
      </w:r>
      <w:r w:rsidR="002469B8" w:rsidRPr="0081156E">
        <w:rPr>
          <w:highlight w:val="green"/>
        </w:rPr>
        <w:t>, labour and fundamental rights</w:t>
      </w:r>
      <w:r w:rsidRPr="0081156E">
        <w:rPr>
          <w:highlight w:val="green"/>
        </w:rPr>
        <w:t xml:space="preserve"> enshrined in EU and national laws and in collective agreements. Social partners and European and national parliaments should be systematically involved in the drafting and consultation phases of the Omnibus simplification package, in line with the principles of democracy that feature the European social model (in line with A</w:t>
      </w:r>
      <w:r w:rsidR="004A4F4E" w:rsidRPr="0081156E">
        <w:rPr>
          <w:highlight w:val="green"/>
        </w:rPr>
        <w:t>rt</w:t>
      </w:r>
      <w:r w:rsidR="00F039FF" w:rsidRPr="0081156E">
        <w:rPr>
          <w:highlight w:val="green"/>
        </w:rPr>
        <w:t>icle</w:t>
      </w:r>
      <w:r w:rsidRPr="0081156E">
        <w:rPr>
          <w:highlight w:val="green"/>
        </w:rPr>
        <w:t xml:space="preserve"> 3</w:t>
      </w:r>
      <w:r w:rsidR="00E66C90" w:rsidRPr="0081156E">
        <w:rPr>
          <w:highlight w:val="green"/>
        </w:rPr>
        <w:t xml:space="preserve"> </w:t>
      </w:r>
      <w:r w:rsidRPr="0081156E">
        <w:rPr>
          <w:highlight w:val="green"/>
        </w:rPr>
        <w:t>TEU</w:t>
      </w:r>
      <w:r w:rsidR="006E3260" w:rsidRPr="0081156E">
        <w:rPr>
          <w:highlight w:val="green"/>
        </w:rPr>
        <w:t>)</w:t>
      </w:r>
      <w:r w:rsidRPr="0081156E">
        <w:rPr>
          <w:highlight w:val="green"/>
        </w:rPr>
        <w:t>.</w:t>
      </w:r>
    </w:p>
    <w:p w14:paraId="4A03EDD6" w14:textId="23517519" w:rsidR="00680874" w:rsidRPr="002B16FB" w:rsidRDefault="00680874" w:rsidP="00D17B52"/>
    <w:p w14:paraId="398B1040" w14:textId="4C7EFC81" w:rsidR="00680874" w:rsidRPr="002B16FB" w:rsidRDefault="00680874" w:rsidP="00D17B52">
      <w:pPr>
        <w:pStyle w:val="Heading3"/>
      </w:pPr>
      <w:r w:rsidRPr="002B16FB">
        <w:t xml:space="preserve">The EESC believes that the finance, energy and electronic communications </w:t>
      </w:r>
      <w:r w:rsidR="00E66C90" w:rsidRPr="002B16FB">
        <w:t xml:space="preserve">sectors </w:t>
      </w:r>
      <w:r w:rsidRPr="002B16FB">
        <w:t xml:space="preserve">have now taken on a strategic and supranational dimension that goes beyond the initial construction of the </w:t>
      </w:r>
      <w:r w:rsidR="00E66C90" w:rsidRPr="002B16FB">
        <w:t>s</w:t>
      </w:r>
      <w:r w:rsidRPr="002B16FB">
        <w:t xml:space="preserve">ingle </w:t>
      </w:r>
      <w:r w:rsidR="00E66C90" w:rsidRPr="002B16FB">
        <w:t>m</w:t>
      </w:r>
      <w:r w:rsidRPr="002B16FB">
        <w:t xml:space="preserve">arket. Such sectors should </w:t>
      </w:r>
      <w:r w:rsidR="00E66C90" w:rsidRPr="002B16FB">
        <w:t xml:space="preserve">therefore </w:t>
      </w:r>
      <w:r w:rsidRPr="002B16FB">
        <w:t>be prioriti</w:t>
      </w:r>
      <w:r w:rsidR="00DE01D8" w:rsidRPr="002B16FB">
        <w:t>s</w:t>
      </w:r>
      <w:r w:rsidRPr="002B16FB">
        <w:t xml:space="preserve">ed when planning the future of the </w:t>
      </w:r>
      <w:r w:rsidR="00E66C90" w:rsidRPr="002B16FB">
        <w:t>s</w:t>
      </w:r>
      <w:r w:rsidRPr="002B16FB">
        <w:t xml:space="preserve">ingle </w:t>
      </w:r>
      <w:r w:rsidR="00E66C90" w:rsidRPr="002B16FB">
        <w:t>m</w:t>
      </w:r>
      <w:r w:rsidRPr="002B16FB">
        <w:t xml:space="preserve">arket, as the Letta </w:t>
      </w:r>
      <w:r w:rsidR="0083307B" w:rsidRPr="002B16FB">
        <w:t>r</w:t>
      </w:r>
      <w:r w:rsidRPr="002B16FB">
        <w:t>eport</w:t>
      </w:r>
      <w:r w:rsidR="00E66C90" w:rsidRPr="002B16FB">
        <w:t xml:space="preserve"> has already emphasised</w:t>
      </w:r>
      <w:r w:rsidRPr="002B16FB">
        <w:t>.</w:t>
      </w:r>
    </w:p>
    <w:p w14:paraId="26FB4849" w14:textId="77777777" w:rsidR="00680874" w:rsidRPr="002B16FB" w:rsidRDefault="00680874" w:rsidP="00D17B52">
      <w:pPr>
        <w:pStyle w:val="Heading3"/>
        <w:numPr>
          <w:ilvl w:val="0"/>
          <w:numId w:val="0"/>
        </w:numPr>
      </w:pPr>
    </w:p>
    <w:p w14:paraId="07060DDD" w14:textId="605BDDAD" w:rsidR="00680874" w:rsidRPr="002B16FB" w:rsidRDefault="00680874" w:rsidP="00D17B52">
      <w:pPr>
        <w:pStyle w:val="Heading3"/>
      </w:pPr>
      <w:r w:rsidRPr="002B16FB">
        <w:t>The EESC supports the Commission</w:t>
      </w:r>
      <w:r w:rsidR="00DE01D8" w:rsidRPr="002B16FB">
        <w:t>’</w:t>
      </w:r>
      <w:r w:rsidRPr="002B16FB">
        <w:t xml:space="preserve">s objective of simplifying EU-derived rules and acknowledges that the recent Omnibus </w:t>
      </w:r>
      <w:r w:rsidR="00C13624" w:rsidRPr="002B16FB">
        <w:t xml:space="preserve">packages </w:t>
      </w:r>
      <w:proofErr w:type="gramStart"/>
      <w:r w:rsidRPr="002B16FB">
        <w:t>has</w:t>
      </w:r>
      <w:proofErr w:type="gramEnd"/>
      <w:r w:rsidRPr="002B16FB">
        <w:t xml:space="preserve"> made important progress in simplifying legislation and reducing compliance costs for businesses.</w:t>
      </w:r>
    </w:p>
    <w:p w14:paraId="20A24808" w14:textId="10D0B45B" w:rsidR="00883F0B" w:rsidRPr="002B16FB" w:rsidRDefault="00883F0B" w:rsidP="00D17B52"/>
    <w:p w14:paraId="31A3B97D" w14:textId="0E7C852A" w:rsidR="00680874" w:rsidRPr="002B16FB" w:rsidRDefault="00680874" w:rsidP="00D17B52">
      <w:pPr>
        <w:pStyle w:val="Heading2"/>
        <w:keepNext/>
        <w:rPr>
          <w:b/>
          <w:bCs/>
        </w:rPr>
      </w:pPr>
      <w:r w:rsidRPr="002B16FB">
        <w:rPr>
          <w:b/>
          <w:bCs/>
        </w:rPr>
        <w:t>More ownership and joint responsibility of EU institutions and Member States</w:t>
      </w:r>
    </w:p>
    <w:p w14:paraId="5A0D4C83" w14:textId="25F92BC1" w:rsidR="00680874" w:rsidRPr="002B16FB" w:rsidRDefault="00680874" w:rsidP="00D17B52">
      <w:pPr>
        <w:keepNext/>
      </w:pPr>
    </w:p>
    <w:p w14:paraId="16B20018" w14:textId="68008A59" w:rsidR="00680874" w:rsidRPr="0081156E" w:rsidRDefault="00680874" w:rsidP="00D17B52">
      <w:pPr>
        <w:pStyle w:val="Heading3"/>
        <w:rPr>
          <w:highlight w:val="yellow"/>
        </w:rPr>
      </w:pPr>
      <w:r w:rsidRPr="002B16FB">
        <w:t xml:space="preserve">The Commission identifies the </w:t>
      </w:r>
      <w:r w:rsidR="00D2795F" w:rsidRPr="002B16FB">
        <w:t xml:space="preserve">adoption </w:t>
      </w:r>
      <w:r w:rsidRPr="002B16FB">
        <w:t xml:space="preserve">of the internal market by Member States as a key challenge. Without political will on their part, it will be impossible to remove barriers, prevent new ones from being created and strengthen the internal market. </w:t>
      </w:r>
      <w:r w:rsidRPr="0081156E">
        <w:rPr>
          <w:highlight w:val="yellow"/>
        </w:rPr>
        <w:t xml:space="preserve">The EESC agrees, in principle, that Member States must show greater responsibility and awareness towards the </w:t>
      </w:r>
      <w:r w:rsidR="00D2795F" w:rsidRPr="0081156E">
        <w:rPr>
          <w:highlight w:val="yellow"/>
        </w:rPr>
        <w:t>s</w:t>
      </w:r>
      <w:r w:rsidRPr="0081156E">
        <w:rPr>
          <w:highlight w:val="yellow"/>
        </w:rPr>
        <w:t xml:space="preserve">ingle </w:t>
      </w:r>
      <w:r w:rsidR="00D2795F" w:rsidRPr="0081156E">
        <w:rPr>
          <w:highlight w:val="yellow"/>
        </w:rPr>
        <w:t>m</w:t>
      </w:r>
      <w:r w:rsidRPr="0081156E">
        <w:rPr>
          <w:highlight w:val="yellow"/>
        </w:rPr>
        <w:t>arket, since no one can remove barriers to the market better than the Member States themselves</w:t>
      </w:r>
      <w:r w:rsidR="00062587" w:rsidRPr="0081156E">
        <w:rPr>
          <w:highlight w:val="yellow"/>
        </w:rPr>
        <w:t>.</w:t>
      </w:r>
    </w:p>
    <w:p w14:paraId="45BA4C58" w14:textId="77777777" w:rsidR="00680874" w:rsidRPr="002B16FB" w:rsidRDefault="00680874" w:rsidP="00D17B52"/>
    <w:p w14:paraId="170FAB94" w14:textId="77C86593" w:rsidR="00680874" w:rsidRPr="0081156E" w:rsidRDefault="00680874" w:rsidP="00D17B52">
      <w:pPr>
        <w:pStyle w:val="Heading3"/>
        <w:rPr>
          <w:highlight w:val="yellow"/>
        </w:rPr>
      </w:pPr>
      <w:r w:rsidRPr="0081156E">
        <w:rPr>
          <w:highlight w:val="yellow"/>
        </w:rPr>
        <w:t xml:space="preserve">The EESC has been alarmed for years by the protectionist tendencies of Member States on the European market for goods and services and </w:t>
      </w:r>
      <w:r w:rsidR="00D2795F" w:rsidRPr="0081156E">
        <w:rPr>
          <w:highlight w:val="yellow"/>
        </w:rPr>
        <w:t xml:space="preserve">therefore </w:t>
      </w:r>
      <w:r w:rsidRPr="0081156E">
        <w:rPr>
          <w:highlight w:val="yellow"/>
        </w:rPr>
        <w:t>supports measures identified in the communication to strengthen prevention, collaboration and corrections tools.</w:t>
      </w:r>
    </w:p>
    <w:p w14:paraId="27837D6F" w14:textId="77777777" w:rsidR="00680874" w:rsidRPr="002B16FB" w:rsidRDefault="00680874" w:rsidP="00D17B52"/>
    <w:p w14:paraId="63105F8E" w14:textId="02D8AF2E" w:rsidR="00680874" w:rsidRPr="002B16FB" w:rsidRDefault="00680874" w:rsidP="00D17B52">
      <w:pPr>
        <w:pStyle w:val="Heading3"/>
      </w:pPr>
      <w:r w:rsidRPr="002B16FB">
        <w:t>At the same time, the EESC notes that the Letta report proposes a multi-stakeholder</w:t>
      </w:r>
      <w:r w:rsidR="00DE01D8" w:rsidRPr="002B16FB">
        <w:t>’</w:t>
      </w:r>
      <w:r w:rsidRPr="002B16FB">
        <w:t>s approach, including social partners in shaping the future of the single market consistently with the Treaties</w:t>
      </w:r>
      <w:r w:rsidR="00DE01D8" w:rsidRPr="002B16FB">
        <w:t>’</w:t>
      </w:r>
      <w:r w:rsidRPr="002B16FB">
        <w:t xml:space="preserve"> vision of a competitive </w:t>
      </w:r>
      <w:r w:rsidR="00E66C90" w:rsidRPr="002B16FB">
        <w:t>‘</w:t>
      </w:r>
      <w:r w:rsidRPr="002B16FB">
        <w:t>social market economy</w:t>
      </w:r>
      <w:r w:rsidR="00E66C90" w:rsidRPr="002B16FB">
        <w:t>’</w:t>
      </w:r>
      <w:r w:rsidRPr="002B16FB">
        <w:t>, calling for the Commission</w:t>
      </w:r>
      <w:r w:rsidR="0083307B" w:rsidRPr="002B16FB">
        <w:t>’s</w:t>
      </w:r>
      <w:r w:rsidRPr="002B16FB">
        <w:t xml:space="preserve"> attention in this respect.</w:t>
      </w:r>
    </w:p>
    <w:p w14:paraId="2B2CB4B5" w14:textId="7374AF88" w:rsidR="00680874" w:rsidRPr="002B16FB" w:rsidRDefault="00680874" w:rsidP="00D17B52"/>
    <w:p w14:paraId="4E2105C8" w14:textId="411CCAD2" w:rsidR="00680874" w:rsidRPr="002B16FB" w:rsidRDefault="00F62C4E" w:rsidP="00D17B52">
      <w:pPr>
        <w:pStyle w:val="Heading3"/>
      </w:pPr>
      <w:r w:rsidRPr="002B16FB">
        <w:t xml:space="preserve">The EESC </w:t>
      </w:r>
      <w:r w:rsidR="00680874" w:rsidRPr="002B16FB">
        <w:t>call</w:t>
      </w:r>
      <w:r w:rsidRPr="002B16FB">
        <w:t>s</w:t>
      </w:r>
      <w:r w:rsidR="00680874" w:rsidRPr="002B16FB">
        <w:t xml:space="preserve"> on the Commission to:</w:t>
      </w:r>
    </w:p>
    <w:p w14:paraId="56297401" w14:textId="77777777" w:rsidR="00680874" w:rsidRPr="002B16FB" w:rsidRDefault="00680874" w:rsidP="00F87815">
      <w:pPr>
        <w:numPr>
          <w:ilvl w:val="0"/>
          <w:numId w:val="73"/>
        </w:numPr>
        <w:ind w:left="851" w:hanging="284"/>
      </w:pPr>
      <w:r w:rsidRPr="002B16FB">
        <w:t xml:space="preserve">give priority to implementing measures to address this </w:t>
      </w:r>
      <w:proofErr w:type="gramStart"/>
      <w:r w:rsidRPr="002B16FB">
        <w:t>issue;</w:t>
      </w:r>
      <w:proofErr w:type="gramEnd"/>
    </w:p>
    <w:p w14:paraId="0F542541" w14:textId="77777777" w:rsidR="00680874" w:rsidRPr="002B16FB" w:rsidRDefault="00680874" w:rsidP="00F87815">
      <w:pPr>
        <w:numPr>
          <w:ilvl w:val="0"/>
          <w:numId w:val="73"/>
        </w:numPr>
        <w:ind w:left="851" w:hanging="284"/>
      </w:pPr>
      <w:r w:rsidRPr="002B16FB">
        <w:t xml:space="preserve">include the EESC in the work of the </w:t>
      </w:r>
      <w:proofErr w:type="gramStart"/>
      <w:r w:rsidRPr="002B16FB">
        <w:t>SMET;</w:t>
      </w:r>
      <w:proofErr w:type="gramEnd"/>
    </w:p>
    <w:p w14:paraId="2A25EEC1" w14:textId="226F6716" w:rsidR="00680874" w:rsidRPr="002B16FB" w:rsidRDefault="00680874" w:rsidP="00F87815">
      <w:pPr>
        <w:numPr>
          <w:ilvl w:val="0"/>
          <w:numId w:val="73"/>
        </w:numPr>
        <w:ind w:left="851" w:hanging="284"/>
      </w:pPr>
      <w:r w:rsidRPr="002B16FB">
        <w:t xml:space="preserve">ensure a genuine multi-level and inclusive governance structure, which strengthens not only the role of national governments but also includes European and national parliaments and social partners and relevant stakeholders in shaping and implementing </w:t>
      </w:r>
      <w:r w:rsidR="0083307B" w:rsidRPr="002B16FB">
        <w:t>s</w:t>
      </w:r>
      <w:r w:rsidRPr="002B16FB">
        <w:t xml:space="preserve">ingle </w:t>
      </w:r>
      <w:r w:rsidR="0083307B" w:rsidRPr="002B16FB">
        <w:t>m</w:t>
      </w:r>
      <w:r w:rsidRPr="002B16FB">
        <w:t xml:space="preserve">arket </w:t>
      </w:r>
      <w:proofErr w:type="gramStart"/>
      <w:r w:rsidRPr="002B16FB">
        <w:t>policy;</w:t>
      </w:r>
      <w:proofErr w:type="gramEnd"/>
    </w:p>
    <w:p w14:paraId="5E7EDEF4" w14:textId="72148636" w:rsidR="00680874" w:rsidRPr="002B16FB" w:rsidRDefault="00680874" w:rsidP="00F87815">
      <w:pPr>
        <w:numPr>
          <w:ilvl w:val="0"/>
          <w:numId w:val="73"/>
        </w:numPr>
        <w:ind w:left="851" w:hanging="284"/>
      </w:pPr>
      <w:r w:rsidRPr="002B16FB">
        <w:t xml:space="preserve">explicitly </w:t>
      </w:r>
      <w:r w:rsidR="00DE01D8" w:rsidRPr="002B16FB">
        <w:t>recognise</w:t>
      </w:r>
      <w:r w:rsidRPr="002B16FB">
        <w:t xml:space="preserve"> the European social dimension of the market, including the role of collective agreements, European and national labour standards and social enterprises, which must not be mischaracterised as market barriers.</w:t>
      </w:r>
    </w:p>
    <w:p w14:paraId="0B3B1B80" w14:textId="2700117F" w:rsidR="00680874" w:rsidRPr="002B16FB" w:rsidRDefault="00680874" w:rsidP="00D17B52"/>
    <w:p w14:paraId="48ABFB32" w14:textId="61C39720" w:rsidR="00680874" w:rsidRPr="0081156E" w:rsidRDefault="00680874" w:rsidP="00D17B52">
      <w:pPr>
        <w:pStyle w:val="Heading3"/>
        <w:rPr>
          <w:highlight w:val="yellow"/>
        </w:rPr>
      </w:pPr>
      <w:r w:rsidRPr="0081156E">
        <w:rPr>
          <w:highlight w:val="yellow"/>
        </w:rPr>
        <w:t xml:space="preserve">The EESC welcomes the integration of the </w:t>
      </w:r>
      <w:r w:rsidR="00A24887" w:rsidRPr="0081156E">
        <w:rPr>
          <w:highlight w:val="yellow"/>
        </w:rPr>
        <w:t>s</w:t>
      </w:r>
      <w:r w:rsidRPr="0081156E">
        <w:rPr>
          <w:highlight w:val="yellow"/>
        </w:rPr>
        <w:t xml:space="preserve">ingle </w:t>
      </w:r>
      <w:r w:rsidR="00A24887" w:rsidRPr="0081156E">
        <w:rPr>
          <w:highlight w:val="yellow"/>
        </w:rPr>
        <w:t>m</w:t>
      </w:r>
      <w:r w:rsidRPr="0081156E">
        <w:rPr>
          <w:highlight w:val="yellow"/>
        </w:rPr>
        <w:t xml:space="preserve">arket dimension into the </w:t>
      </w:r>
      <w:r w:rsidR="00A24887" w:rsidRPr="0081156E">
        <w:rPr>
          <w:highlight w:val="yellow"/>
        </w:rPr>
        <w:t>r</w:t>
      </w:r>
      <w:r w:rsidRPr="0081156E">
        <w:rPr>
          <w:highlight w:val="yellow"/>
        </w:rPr>
        <w:t xml:space="preserve">ule of </w:t>
      </w:r>
      <w:r w:rsidR="00A24887" w:rsidRPr="0081156E">
        <w:rPr>
          <w:highlight w:val="yellow"/>
        </w:rPr>
        <w:t>l</w:t>
      </w:r>
      <w:r w:rsidRPr="0081156E">
        <w:rPr>
          <w:highlight w:val="yellow"/>
        </w:rPr>
        <w:t>aw report</w:t>
      </w:r>
      <w:r w:rsidR="00CE2707" w:rsidRPr="0081156E">
        <w:rPr>
          <w:rStyle w:val="FootnoteReference"/>
          <w:highlight w:val="yellow"/>
        </w:rPr>
        <w:footnoteReference w:id="1"/>
      </w:r>
      <w:r w:rsidRPr="0081156E">
        <w:rPr>
          <w:highlight w:val="yellow"/>
        </w:rPr>
        <w:t>.</w:t>
      </w:r>
    </w:p>
    <w:p w14:paraId="54547554" w14:textId="46B02C57" w:rsidR="00286209" w:rsidRPr="002B16FB" w:rsidRDefault="00286209" w:rsidP="00D17B52"/>
    <w:p w14:paraId="6FA1E104" w14:textId="3FD677B0" w:rsidR="00286209" w:rsidRPr="002B16FB" w:rsidRDefault="0058000A" w:rsidP="00D17B52">
      <w:pPr>
        <w:pStyle w:val="Heading3"/>
      </w:pPr>
      <w:r w:rsidRPr="0081156E">
        <w:rPr>
          <w:highlight w:val="yellow"/>
        </w:rPr>
        <w:t>T</w:t>
      </w:r>
      <w:r w:rsidR="00286209" w:rsidRPr="0081156E">
        <w:rPr>
          <w:highlight w:val="yellow"/>
        </w:rPr>
        <w:t xml:space="preserve">he EESC agrees with the Commission about the importance of effective enforcement of single market rules, since only timely and robust application ensures that the </w:t>
      </w:r>
      <w:r w:rsidR="00617E23" w:rsidRPr="0081156E">
        <w:rPr>
          <w:highlight w:val="yellow"/>
        </w:rPr>
        <w:t>s</w:t>
      </w:r>
      <w:r w:rsidR="00286209" w:rsidRPr="0081156E">
        <w:rPr>
          <w:highlight w:val="yellow"/>
        </w:rPr>
        <w:t xml:space="preserve">ingle </w:t>
      </w:r>
      <w:r w:rsidR="00617E23" w:rsidRPr="0081156E">
        <w:rPr>
          <w:highlight w:val="yellow"/>
        </w:rPr>
        <w:t>m</w:t>
      </w:r>
      <w:r w:rsidR="00286209" w:rsidRPr="0081156E">
        <w:rPr>
          <w:highlight w:val="yellow"/>
        </w:rPr>
        <w:t>arket</w:t>
      </w:r>
      <w:r w:rsidR="00DE01D8" w:rsidRPr="0081156E">
        <w:rPr>
          <w:highlight w:val="yellow"/>
        </w:rPr>
        <w:t>’</w:t>
      </w:r>
      <w:r w:rsidR="00286209" w:rsidRPr="0081156E">
        <w:rPr>
          <w:highlight w:val="yellow"/>
        </w:rPr>
        <w:t xml:space="preserve">s benefits </w:t>
      </w:r>
      <w:proofErr w:type="gramStart"/>
      <w:r w:rsidR="00286209" w:rsidRPr="0081156E">
        <w:rPr>
          <w:highlight w:val="yellow"/>
        </w:rPr>
        <w:t>actually reach</w:t>
      </w:r>
      <w:proofErr w:type="gramEnd"/>
      <w:r w:rsidR="00286209" w:rsidRPr="0081156E">
        <w:rPr>
          <w:highlight w:val="yellow"/>
        </w:rPr>
        <w:t xml:space="preserve"> citizens and businesses</w:t>
      </w:r>
      <w:r w:rsidR="00286209" w:rsidRPr="002B16FB">
        <w:t xml:space="preserve"> (an issue also emphasi</w:t>
      </w:r>
      <w:r w:rsidR="00DE01D8" w:rsidRPr="002B16FB">
        <w:t>s</w:t>
      </w:r>
      <w:r w:rsidR="00286209" w:rsidRPr="002B16FB">
        <w:t>ed in the Draghi and Letta reports). The EESC therefore take</w:t>
      </w:r>
      <w:r w:rsidR="002614D5" w:rsidRPr="002B16FB">
        <w:t>s</w:t>
      </w:r>
      <w:r w:rsidR="00286209" w:rsidRPr="002B16FB">
        <w:t xml:space="preserve"> not</w:t>
      </w:r>
      <w:r w:rsidR="00617E23" w:rsidRPr="002B16FB">
        <w:t>e</w:t>
      </w:r>
      <w:r w:rsidR="00286209" w:rsidRPr="002B16FB">
        <w:t xml:space="preserve"> of the establishment of the </w:t>
      </w:r>
      <w:r w:rsidR="00E66C90" w:rsidRPr="002B16FB">
        <w:t>‘</w:t>
      </w:r>
      <w:r w:rsidR="00286209" w:rsidRPr="002B16FB">
        <w:t>High-Level Sherpa Group on the Single Market</w:t>
      </w:r>
      <w:r w:rsidR="00E66C90" w:rsidRPr="002B16FB">
        <w:t>’</w:t>
      </w:r>
      <w:r w:rsidR="00286209" w:rsidRPr="002B16FB">
        <w:t xml:space="preserve"> and calls for meaningful participation of social partners in this process, expressing its readiness to actively collaborate with the Commission and Member States in this regard.</w:t>
      </w:r>
      <w:r w:rsidR="009E3430" w:rsidRPr="002B16FB">
        <w:t xml:space="preserve"> Considering the existing mandate of the SMET, the EESC underlines the importance of ensuring consistency and efficiency between the SMET and the new Single Market Sherpa Group to avoid overlaps and guarantee coherent and effective enforcement architecture for the </w:t>
      </w:r>
      <w:r w:rsidR="005C0D02" w:rsidRPr="002B16FB">
        <w:t>s</w:t>
      </w:r>
      <w:r w:rsidR="009E3430" w:rsidRPr="002B16FB">
        <w:t xml:space="preserve">ingle </w:t>
      </w:r>
      <w:r w:rsidR="005C0D02" w:rsidRPr="002B16FB">
        <w:t>m</w:t>
      </w:r>
      <w:r w:rsidR="009E3430" w:rsidRPr="002B16FB">
        <w:t>arket.</w:t>
      </w:r>
    </w:p>
    <w:p w14:paraId="3D4F63A6" w14:textId="04E2F2D4" w:rsidR="00286209" w:rsidRPr="002B16FB" w:rsidRDefault="00286209" w:rsidP="00D17B52"/>
    <w:p w14:paraId="118A5921" w14:textId="731D9322" w:rsidR="00286209" w:rsidRPr="0081156E" w:rsidRDefault="00286209" w:rsidP="00D17B52">
      <w:pPr>
        <w:pStyle w:val="Heading3"/>
        <w:rPr>
          <w:highlight w:val="yellow"/>
        </w:rPr>
      </w:pPr>
      <w:r w:rsidRPr="0081156E">
        <w:rPr>
          <w:highlight w:val="yellow"/>
        </w:rPr>
        <w:t>Finally, the EESC strongly supports the Commission</w:t>
      </w:r>
      <w:r w:rsidR="00DE01D8" w:rsidRPr="0081156E">
        <w:rPr>
          <w:highlight w:val="yellow"/>
        </w:rPr>
        <w:t>’</w:t>
      </w:r>
      <w:r w:rsidRPr="0081156E">
        <w:rPr>
          <w:highlight w:val="yellow"/>
        </w:rPr>
        <w:t>s intention to speed up the handling of complaints procedures.</w:t>
      </w:r>
    </w:p>
    <w:p w14:paraId="0BCB9B85" w14:textId="56D86CA8" w:rsidR="00286209" w:rsidRPr="002B16FB" w:rsidRDefault="00286209" w:rsidP="00D17B52"/>
    <w:p w14:paraId="47CD52AE" w14:textId="13719055" w:rsidR="00286209" w:rsidRPr="002B16FB" w:rsidRDefault="00EF23CF" w:rsidP="00D17B52">
      <w:pPr>
        <w:pStyle w:val="Heading2"/>
        <w:keepNext/>
        <w:rPr>
          <w:b/>
          <w:bCs/>
        </w:rPr>
      </w:pPr>
      <w:r w:rsidRPr="002B16FB">
        <w:rPr>
          <w:b/>
          <w:bCs/>
        </w:rPr>
        <w:t>More digitali</w:t>
      </w:r>
      <w:r w:rsidR="00DE01D8" w:rsidRPr="002B16FB">
        <w:rPr>
          <w:b/>
          <w:bCs/>
        </w:rPr>
        <w:t>s</w:t>
      </w:r>
      <w:r w:rsidRPr="002B16FB">
        <w:rPr>
          <w:b/>
          <w:bCs/>
        </w:rPr>
        <w:t>ation: key for smart implementation</w:t>
      </w:r>
    </w:p>
    <w:p w14:paraId="7303E680" w14:textId="6499FE75" w:rsidR="00EF23CF" w:rsidRPr="002B16FB" w:rsidRDefault="00EF23CF" w:rsidP="00D17B52">
      <w:pPr>
        <w:keepNext/>
      </w:pPr>
    </w:p>
    <w:p w14:paraId="02C3C186" w14:textId="5ACF0EDD" w:rsidR="00EF23CF" w:rsidRPr="002B16FB" w:rsidRDefault="00E6263B" w:rsidP="00D17B52">
      <w:pPr>
        <w:pStyle w:val="Heading3"/>
      </w:pPr>
      <w:r w:rsidRPr="002B16FB">
        <w:t xml:space="preserve">The EESC supports clearer and more harmonised rules for digital and data services to foster trust, innovation and legal certainty. It underlines that this must go hand in hand with the protection of users and workers, in line with the precautionary principle enshrined in the Treaties and the human-in-control principle. </w:t>
      </w:r>
      <w:r w:rsidRPr="0081156E">
        <w:rPr>
          <w:highlight w:val="green"/>
        </w:rPr>
        <w:t>The EESC encourages the EU to ensure that digitalisation respects fundamental rights, including transparency, accountability and fair working conditions</w:t>
      </w:r>
      <w:r w:rsidR="0046718C" w:rsidRPr="0081156E">
        <w:rPr>
          <w:highlight w:val="green"/>
        </w:rPr>
        <w:t>,</w:t>
      </w:r>
      <w:r w:rsidR="0046718C" w:rsidRPr="002B16FB">
        <w:t xml:space="preserve"> and promote fair and democratic access to digital technologies and opportunities</w:t>
      </w:r>
      <w:r w:rsidR="002614D5" w:rsidRPr="002B16FB">
        <w:t>.</w:t>
      </w:r>
    </w:p>
    <w:p w14:paraId="3B86B647" w14:textId="5CA700B3" w:rsidR="00EF23CF" w:rsidRPr="002B16FB" w:rsidRDefault="00EF23CF" w:rsidP="00D17B52"/>
    <w:p w14:paraId="0DD2ADB2" w14:textId="50988E5B" w:rsidR="00EF23CF" w:rsidRPr="002B16FB" w:rsidRDefault="00975CDA" w:rsidP="00D17B52">
      <w:pPr>
        <w:pStyle w:val="Heading2"/>
        <w:keepNext/>
        <w:rPr>
          <w:b/>
          <w:bCs/>
        </w:rPr>
      </w:pPr>
      <w:r w:rsidRPr="002B16FB">
        <w:rPr>
          <w:b/>
          <w:bCs/>
        </w:rPr>
        <w:t>More focus on SMEs</w:t>
      </w:r>
    </w:p>
    <w:p w14:paraId="08A394E9" w14:textId="2773AF35" w:rsidR="00EF23CF" w:rsidRPr="002B16FB" w:rsidRDefault="00EF23CF" w:rsidP="00D17B52">
      <w:pPr>
        <w:keepNext/>
      </w:pPr>
    </w:p>
    <w:p w14:paraId="45A54F01" w14:textId="45FC03E7" w:rsidR="0048520C" w:rsidRPr="002B16FB" w:rsidRDefault="0048520C" w:rsidP="00D17B52">
      <w:pPr>
        <w:pStyle w:val="Heading3"/>
      </w:pPr>
      <w:r w:rsidRPr="002B16FB">
        <w:t>The EESC takes note of the proposal to introduce an SME ID tool based on self-assessment. The Committee warns that relying solely on self-declaration could create legal uncertainty and open the door to fraudulent practices. It is therefore essential to develop adequate safeguards and verification mechanisms to ensure</w:t>
      </w:r>
      <w:r w:rsidR="00A57C08" w:rsidRPr="002B16FB">
        <w:t xml:space="preserve"> that</w:t>
      </w:r>
      <w:r w:rsidRPr="002B16FB">
        <w:t xml:space="preserve"> the tool is used transparently and in compliance with national and EU labour and social standards.</w:t>
      </w:r>
      <w:r w:rsidR="004E29F5" w:rsidRPr="002B16FB">
        <w:t xml:space="preserve"> </w:t>
      </w:r>
      <w:r w:rsidRPr="002B16FB">
        <w:t>In this context, the EESC also underlines the importance of ensuring that company law is applied in a way that upholds workers</w:t>
      </w:r>
      <w:r w:rsidR="00DE01D8" w:rsidRPr="002B16FB">
        <w:t>’</w:t>
      </w:r>
      <w:r w:rsidRPr="002B16FB">
        <w:t xml:space="preserve"> rights, encouraging the development of a robust and balanced regulatory framework that prevents potential misuse while supporting fair and transparent business practices.</w:t>
      </w:r>
    </w:p>
    <w:p w14:paraId="18E42B3E" w14:textId="0046FE50" w:rsidR="0048520C" w:rsidRPr="002B16FB" w:rsidRDefault="0048520C" w:rsidP="00D17B52"/>
    <w:p w14:paraId="3E96FC29" w14:textId="782834E6" w:rsidR="0048520C" w:rsidRPr="002B16FB" w:rsidRDefault="0048520C" w:rsidP="00D17B52">
      <w:pPr>
        <w:pStyle w:val="Heading2"/>
        <w:keepNext/>
        <w:rPr>
          <w:b/>
          <w:bCs/>
        </w:rPr>
      </w:pPr>
      <w:r w:rsidRPr="002B16FB">
        <w:rPr>
          <w:b/>
          <w:bCs/>
        </w:rPr>
        <w:t>More ambition to boost services</w:t>
      </w:r>
    </w:p>
    <w:p w14:paraId="06490E28" w14:textId="51E7015F" w:rsidR="0048520C" w:rsidRPr="002B16FB" w:rsidRDefault="0048520C" w:rsidP="00D17B52">
      <w:pPr>
        <w:keepNext/>
      </w:pPr>
    </w:p>
    <w:p w14:paraId="262C67E3" w14:textId="1EACF131" w:rsidR="0048520C" w:rsidRPr="002B16FB" w:rsidRDefault="008711CF" w:rsidP="00D17B52">
      <w:pPr>
        <w:pStyle w:val="Heading3"/>
      </w:pPr>
      <w:r w:rsidRPr="0081156E">
        <w:rPr>
          <w:highlight w:val="yellow"/>
        </w:rPr>
        <w:t>The EESC fully supports strengthening the EU services market pursued by the Commission, recogni</w:t>
      </w:r>
      <w:r w:rsidR="00DE01D8" w:rsidRPr="0081156E">
        <w:rPr>
          <w:highlight w:val="yellow"/>
        </w:rPr>
        <w:t>s</w:t>
      </w:r>
      <w:r w:rsidRPr="0081156E">
        <w:rPr>
          <w:highlight w:val="yellow"/>
        </w:rPr>
        <w:t>ing the central role of services in today</w:t>
      </w:r>
      <w:r w:rsidR="00DE01D8" w:rsidRPr="0081156E">
        <w:rPr>
          <w:highlight w:val="yellow"/>
        </w:rPr>
        <w:t>’</w:t>
      </w:r>
      <w:r w:rsidRPr="0081156E">
        <w:rPr>
          <w:highlight w:val="yellow"/>
        </w:rPr>
        <w:t>s economy. The EESC particularly emphasi</w:t>
      </w:r>
      <w:r w:rsidR="00DE01D8" w:rsidRPr="0081156E">
        <w:rPr>
          <w:highlight w:val="yellow"/>
        </w:rPr>
        <w:t>s</w:t>
      </w:r>
      <w:r w:rsidRPr="0081156E">
        <w:rPr>
          <w:highlight w:val="yellow"/>
        </w:rPr>
        <w:t>es the need to remove barriers in: i) the retail sector, which could raise gross value added (a 10% barrier reduction could bring about +0.6% GV</w:t>
      </w:r>
      <w:r w:rsidR="00617E23" w:rsidRPr="0081156E">
        <w:rPr>
          <w:highlight w:val="yellow"/>
        </w:rPr>
        <w:t>A</w:t>
      </w:r>
      <w:r w:rsidRPr="0081156E">
        <w:rPr>
          <w:highlight w:val="yellow"/>
        </w:rPr>
        <w:t xml:space="preserve"> according to Commission estimations)</w:t>
      </w:r>
      <w:r w:rsidR="00617E23" w:rsidRPr="0081156E">
        <w:rPr>
          <w:highlight w:val="yellow"/>
        </w:rPr>
        <w:t>,</w:t>
      </w:r>
      <w:r w:rsidRPr="0081156E">
        <w:rPr>
          <w:highlight w:val="yellow"/>
        </w:rPr>
        <w:t xml:space="preserve"> ii) construction, to enable more efficient and affordable buildings in light of the current housing crisis</w:t>
      </w:r>
      <w:r w:rsidR="00617E23" w:rsidRPr="0081156E">
        <w:rPr>
          <w:highlight w:val="yellow"/>
        </w:rPr>
        <w:t xml:space="preserve"> and</w:t>
      </w:r>
      <w:r w:rsidRPr="002B16FB">
        <w:t xml:space="preserve"> iii) financial services, which remain significantly less competitive and attractive compared to markets like the US.</w:t>
      </w:r>
    </w:p>
    <w:p w14:paraId="6D5E3A4D" w14:textId="158FF020" w:rsidR="00755FC0" w:rsidRPr="002B16FB" w:rsidRDefault="00755FC0" w:rsidP="00D17B52"/>
    <w:p w14:paraId="4DFBCB59" w14:textId="2F7B38CF" w:rsidR="00755FC0" w:rsidRPr="002B16FB" w:rsidRDefault="00755FC0" w:rsidP="00D17B52">
      <w:pPr>
        <w:pStyle w:val="Heading3"/>
      </w:pPr>
      <w:r w:rsidRPr="002B16FB">
        <w:t xml:space="preserve">The EESC highlights that effective and sustainable market integration requires the active involvement of social partners and full respect for fair competition principles, </w:t>
      </w:r>
      <w:proofErr w:type="gramStart"/>
      <w:r w:rsidRPr="002B16FB">
        <w:t>in order to</w:t>
      </w:r>
      <w:proofErr w:type="gramEnd"/>
      <w:r w:rsidRPr="002B16FB">
        <w:t xml:space="preserve"> safeguard labour right</w:t>
      </w:r>
      <w:r w:rsidR="00C54555" w:rsidRPr="002B16FB">
        <w:t>s</w:t>
      </w:r>
      <w:r w:rsidRPr="002B16FB">
        <w:t xml:space="preserve"> and standards and ensure a level playing field. Particular attention should be paid to sectors such as construction and logistics, which are especially exposed to risks of social dumping. Therefore, a common European approach should be accompanied by appropriate safeguards, especially within the framework of public procurement.</w:t>
      </w:r>
    </w:p>
    <w:p w14:paraId="755E015C" w14:textId="07914DCB" w:rsidR="00755FC0" w:rsidRPr="002B16FB" w:rsidRDefault="00755FC0" w:rsidP="00D17B52"/>
    <w:p w14:paraId="6C6215F9" w14:textId="08775723" w:rsidR="00755FC0" w:rsidRPr="002B16FB" w:rsidRDefault="00755FC0" w:rsidP="00D17B52">
      <w:pPr>
        <w:pStyle w:val="Heading1"/>
        <w:keepNext/>
        <w:rPr>
          <w:b/>
          <w:bCs/>
        </w:rPr>
      </w:pPr>
      <w:r w:rsidRPr="002B16FB">
        <w:rPr>
          <w:b/>
          <w:bCs/>
        </w:rPr>
        <w:t>Specific observations</w:t>
      </w:r>
    </w:p>
    <w:p w14:paraId="655688D8" w14:textId="384A00DF" w:rsidR="00755FC0" w:rsidRPr="002B16FB" w:rsidRDefault="00755FC0" w:rsidP="00D17B52">
      <w:pPr>
        <w:keepNext/>
      </w:pPr>
    </w:p>
    <w:p w14:paraId="0A10315F" w14:textId="6BE959DD" w:rsidR="00755FC0" w:rsidRPr="002B16FB" w:rsidRDefault="00DF5930" w:rsidP="00D17B52">
      <w:pPr>
        <w:pStyle w:val="Heading2"/>
        <w:keepNext/>
        <w:rPr>
          <w:b/>
          <w:bCs/>
        </w:rPr>
      </w:pPr>
      <w:r w:rsidRPr="002B16FB">
        <w:rPr>
          <w:b/>
          <w:bCs/>
        </w:rPr>
        <w:t>Barriers related to horizontal issues</w:t>
      </w:r>
    </w:p>
    <w:p w14:paraId="722968B2" w14:textId="725A4726" w:rsidR="00DF5930" w:rsidRPr="002B16FB" w:rsidRDefault="00DF5930" w:rsidP="00D17B52">
      <w:pPr>
        <w:keepNext/>
      </w:pPr>
    </w:p>
    <w:p w14:paraId="0C688075" w14:textId="13F40C4A" w:rsidR="00DF5930" w:rsidRPr="002B16FB" w:rsidRDefault="009C1551" w:rsidP="00D17B52">
      <w:pPr>
        <w:pStyle w:val="Heading3"/>
      </w:pPr>
      <w:r w:rsidRPr="002B16FB">
        <w:t>The EESC welcomes the work to reconsider overly complex EU rules.</w:t>
      </w:r>
    </w:p>
    <w:p w14:paraId="14883340" w14:textId="04F70DE2" w:rsidR="009C1551" w:rsidRDefault="009C1551" w:rsidP="00D17B52"/>
    <w:p w14:paraId="14DC59F1" w14:textId="586FB1CB" w:rsidR="009E2820" w:rsidRDefault="009E2820" w:rsidP="00180345">
      <w:pPr>
        <w:pStyle w:val="Heading3"/>
      </w:pPr>
      <w:r w:rsidRPr="009E2820">
        <w:t xml:space="preserve">In this regard, the EESC </w:t>
      </w:r>
      <w:r w:rsidR="00C27717">
        <w:t>reiterates</w:t>
      </w:r>
      <w:r w:rsidRPr="009E2820">
        <w:t xml:space="preserve"> the importance of promoting full access to the potential of the single market for social economy entities as well. It therefore calls on the European Commission to review its recent decision to withdraw the proposal on the European Cross-Border Association (ECBA).</w:t>
      </w:r>
    </w:p>
    <w:p w14:paraId="30A92AAA" w14:textId="77777777" w:rsidR="009E2820" w:rsidRPr="002B16FB" w:rsidRDefault="009E2820" w:rsidP="00D17B52"/>
    <w:p w14:paraId="3C06A1CC" w14:textId="73746C31" w:rsidR="009C1551" w:rsidRPr="002B16FB" w:rsidRDefault="009C1551" w:rsidP="00D17B52">
      <w:pPr>
        <w:pStyle w:val="Heading3"/>
      </w:pPr>
      <w:r w:rsidRPr="002B16FB">
        <w:t xml:space="preserve">Regarding a key issue for the single market like public procurements, the EESC stresses that the new draft </w:t>
      </w:r>
      <w:r w:rsidR="00CE6AEA" w:rsidRPr="002B16FB">
        <w:t>d</w:t>
      </w:r>
      <w:r w:rsidRPr="002B16FB">
        <w:t>irectives expected in 2026 should especially focus on: i) simplification to promote greater cross-border mobility of businesses, which remains weak in the public contracts field</w:t>
      </w:r>
      <w:r w:rsidR="00CE6AEA" w:rsidRPr="002B16FB">
        <w:t xml:space="preserve"> and</w:t>
      </w:r>
      <w:r w:rsidRPr="002B16FB">
        <w:t xml:space="preserve"> ii) effective inclusion of social conditionalities in awarding procedures by improving and better enforcing the principles already promoted in </w:t>
      </w:r>
      <w:r w:rsidR="00CE6AEA" w:rsidRPr="002B16FB">
        <w:t>d</w:t>
      </w:r>
      <w:r w:rsidRPr="002B16FB">
        <w:t>irectives 23, 24 and 25 of 2014.</w:t>
      </w:r>
    </w:p>
    <w:p w14:paraId="7DB3D7A3" w14:textId="00DB34B4" w:rsidR="009C1551" w:rsidRPr="002B16FB" w:rsidRDefault="009C1551" w:rsidP="00D17B52"/>
    <w:p w14:paraId="7BAAD17A" w14:textId="21BA747B" w:rsidR="009C1551" w:rsidRPr="002B16FB" w:rsidRDefault="009C1551" w:rsidP="00D17B52">
      <w:pPr>
        <w:pStyle w:val="Heading3"/>
      </w:pPr>
      <w:r w:rsidRPr="002B16FB">
        <w:t xml:space="preserve">The EESC welcomes the </w:t>
      </w:r>
      <w:r w:rsidR="00BD4AC5" w:rsidRPr="002B16FB">
        <w:t>Commission</w:t>
      </w:r>
      <w:r w:rsidR="005C0D02" w:rsidRPr="002B16FB">
        <w:t>’</w:t>
      </w:r>
      <w:r w:rsidR="00BD4AC5" w:rsidRPr="002B16FB">
        <w:t xml:space="preserve">s announcement of a </w:t>
      </w:r>
      <w:r w:rsidRPr="002B16FB">
        <w:t xml:space="preserve">proposal to establish an optional </w:t>
      </w:r>
      <w:r w:rsidR="00E66C90" w:rsidRPr="002B16FB">
        <w:t>‘</w:t>
      </w:r>
      <w:r w:rsidRPr="002B16FB">
        <w:t>28th regulatory regime</w:t>
      </w:r>
      <w:r w:rsidR="00E66C90" w:rsidRPr="002B16FB">
        <w:t>’</w:t>
      </w:r>
      <w:r w:rsidRPr="002B16FB">
        <w:t xml:space="preserve"> aimed at facilitating cross-border business activities through harmonised rules and a strong digital foundation. This initiative has the potential to reduce administrative burdens, support business alliances across Europe and serve as a stepping stone towards a more integrated European corporate framework.</w:t>
      </w:r>
    </w:p>
    <w:p w14:paraId="03782609" w14:textId="77777777" w:rsidR="009C1551" w:rsidRPr="002B16FB" w:rsidRDefault="009C1551" w:rsidP="00D17B52"/>
    <w:p w14:paraId="748198F5" w14:textId="5A28782D" w:rsidR="009C1551" w:rsidRPr="002B16FB" w:rsidRDefault="009C1551" w:rsidP="00D17B52">
      <w:pPr>
        <w:pStyle w:val="Heading3"/>
      </w:pPr>
      <w:r w:rsidRPr="002B16FB">
        <w:t>At the same time, the EESC stresses that this new regime must be designed with appropriate safeguards to prevent abuse, particularly the misuse of letterbox companies, by ensuring a genuine link between corporate headquarters and business activity (real seat principle). It is equally important to maintain legal clarity on the applicable labour and social standards, and to avoid the creation of parallel legal frameworks that could undermine fair competition or bypass existing national and European rules, including collective agreements.</w:t>
      </w:r>
    </w:p>
    <w:p w14:paraId="5D9735E1" w14:textId="78B2AE54" w:rsidR="009C1551" w:rsidRPr="002B16FB" w:rsidRDefault="009C1551" w:rsidP="00D17B52"/>
    <w:p w14:paraId="79D6C8D2" w14:textId="3C119A3C" w:rsidR="009C1551" w:rsidRPr="002B16FB" w:rsidRDefault="009C1551" w:rsidP="00D17B52">
      <w:pPr>
        <w:pStyle w:val="Heading3"/>
      </w:pPr>
      <w:r w:rsidRPr="002B16FB">
        <w:t>Furthermore, the EESC stresses the need to assess the actual impact of Directive (EU) 2019/1151, particularly to ensure that digital procedures do not weaken anti-abuse safeguards.</w:t>
      </w:r>
    </w:p>
    <w:p w14:paraId="0A56C944" w14:textId="3195E63F" w:rsidR="009C1551" w:rsidRPr="002B16FB" w:rsidRDefault="009C1551" w:rsidP="00D17B52"/>
    <w:p w14:paraId="5EAED248" w14:textId="0A5FDD4D" w:rsidR="009C1551" w:rsidRPr="002B16FB" w:rsidRDefault="009C1551" w:rsidP="00D17B52">
      <w:pPr>
        <w:pStyle w:val="Heading3"/>
      </w:pPr>
      <w:r w:rsidRPr="002B16FB">
        <w:t xml:space="preserve">The EESC supports faster standardisation to promote innovation and market integration, but stresses that the scope of technical standards </w:t>
      </w:r>
      <w:r w:rsidR="00CE6AEA" w:rsidRPr="002B16FB">
        <w:t xml:space="preserve">should </w:t>
      </w:r>
      <w:r w:rsidRPr="002B16FB">
        <w:t>be limited and must not interfere with labour rights and industrial relations. These areas must remain under the responsibility of democratically negotiated frameworks, including legislation, collective bargaining and social dialogue mechanisms.</w:t>
      </w:r>
    </w:p>
    <w:p w14:paraId="42AD7FA5" w14:textId="6CC5EF09" w:rsidR="009C1551" w:rsidRPr="002B16FB" w:rsidRDefault="009C1551" w:rsidP="00D17B52">
      <w:pPr>
        <w:rPr>
          <w:u w:val="single"/>
        </w:rPr>
      </w:pPr>
    </w:p>
    <w:p w14:paraId="00700CA2" w14:textId="1AB99690" w:rsidR="009C1551" w:rsidRPr="002B16FB" w:rsidRDefault="009C1551" w:rsidP="00D17B52">
      <w:pPr>
        <w:pStyle w:val="Heading3"/>
      </w:pPr>
      <w:r w:rsidRPr="002B16FB">
        <w:t>The EESC calls for the free and structured involvement of social partners and civil society organi</w:t>
      </w:r>
      <w:r w:rsidR="00DE01D8" w:rsidRPr="002B16FB">
        <w:t>s</w:t>
      </w:r>
      <w:r w:rsidRPr="002B16FB">
        <w:t>ations in any standard-setting process so that citizens, workers and co</w:t>
      </w:r>
      <w:r w:rsidR="00D23F84" w:rsidRPr="002B16FB">
        <w:t>n</w:t>
      </w:r>
      <w:r w:rsidRPr="002B16FB">
        <w:t>sumers</w:t>
      </w:r>
      <w:r w:rsidR="00DE01D8" w:rsidRPr="002B16FB">
        <w:t>’</w:t>
      </w:r>
      <w:r w:rsidRPr="002B16FB">
        <w:t xml:space="preserve"> interest</w:t>
      </w:r>
      <w:r w:rsidR="00247B25" w:rsidRPr="002B16FB">
        <w:t>s</w:t>
      </w:r>
      <w:r w:rsidRPr="002B16FB">
        <w:t xml:space="preserve"> are duly considered.</w:t>
      </w:r>
    </w:p>
    <w:p w14:paraId="5B1A9044" w14:textId="43FF0FAB" w:rsidR="009C1551" w:rsidRPr="002B16FB" w:rsidRDefault="009C1551" w:rsidP="00D17B52"/>
    <w:p w14:paraId="2B08E7F1" w14:textId="7EDF142E" w:rsidR="00E9300E" w:rsidRPr="002B16FB" w:rsidRDefault="00E9300E" w:rsidP="00D17B52">
      <w:pPr>
        <w:pStyle w:val="Heading2"/>
        <w:keepNext/>
        <w:rPr>
          <w:b/>
          <w:bCs/>
        </w:rPr>
      </w:pPr>
      <w:r w:rsidRPr="002B16FB">
        <w:rPr>
          <w:b/>
          <w:bCs/>
        </w:rPr>
        <w:t>Barriers related to goods</w:t>
      </w:r>
    </w:p>
    <w:p w14:paraId="4F16229E" w14:textId="4565719B" w:rsidR="00E9300E" w:rsidRPr="002B16FB" w:rsidRDefault="00E9300E" w:rsidP="00D17B52">
      <w:pPr>
        <w:keepNext/>
      </w:pPr>
    </w:p>
    <w:p w14:paraId="5FC42FC2" w14:textId="2950B16F" w:rsidR="00E9300E" w:rsidRPr="002B16FB" w:rsidRDefault="00860FE6" w:rsidP="00D17B52">
      <w:pPr>
        <w:pStyle w:val="Heading3"/>
      </w:pPr>
      <w:r w:rsidRPr="002B16FB">
        <w:t xml:space="preserve">The EESC acknowledges the fragmentation of rules on packaging, labelling and waste as one of the </w:t>
      </w:r>
      <w:r w:rsidR="00CE6AEA" w:rsidRPr="002B16FB">
        <w:t>‘t</w:t>
      </w:r>
      <w:r w:rsidRPr="002B16FB">
        <w:t xml:space="preserve">errible </w:t>
      </w:r>
      <w:proofErr w:type="gramStart"/>
      <w:r w:rsidR="00CE6AEA" w:rsidRPr="002B16FB">
        <w:t>barriers</w:t>
      </w:r>
      <w:r w:rsidR="00F039FF" w:rsidRPr="002B16FB">
        <w:t>’</w:t>
      </w:r>
      <w:proofErr w:type="gramEnd"/>
      <w:r w:rsidRPr="002B16FB">
        <w:t xml:space="preserve">. In this context, the willingness of Member States to play the internal market game is key. </w:t>
      </w:r>
      <w:r w:rsidRPr="0081156E">
        <w:rPr>
          <w:highlight w:val="yellow"/>
        </w:rPr>
        <w:t xml:space="preserve">The EESC highlights the need to assess the implications of the </w:t>
      </w:r>
      <w:proofErr w:type="spellStart"/>
      <w:r w:rsidRPr="0081156E">
        <w:rPr>
          <w:highlight w:val="yellow"/>
        </w:rPr>
        <w:t>Triman</w:t>
      </w:r>
      <w:proofErr w:type="spellEnd"/>
      <w:r w:rsidRPr="0081156E">
        <w:rPr>
          <w:highlight w:val="yellow"/>
        </w:rPr>
        <w:t xml:space="preserve"> case and similar cases witnessed in the last years, which have involved multiple Member States and questioned the compatibility of national </w:t>
      </w:r>
      <w:r w:rsidR="00DE01D8" w:rsidRPr="0081156E">
        <w:rPr>
          <w:highlight w:val="yellow"/>
        </w:rPr>
        <w:t>labelling</w:t>
      </w:r>
      <w:r w:rsidRPr="0081156E">
        <w:rPr>
          <w:highlight w:val="yellow"/>
        </w:rPr>
        <w:t xml:space="preserve"> regulations with EU law</w:t>
      </w:r>
      <w:r w:rsidRPr="002B16FB">
        <w:t xml:space="preserve">. In the agri-food sector, </w:t>
      </w:r>
      <w:r w:rsidR="00B83A62" w:rsidRPr="002B16FB">
        <w:t xml:space="preserve">initiatives on packaging and labelling must be aligned with the general regulation on the provision of food information, but </w:t>
      </w:r>
      <w:r w:rsidR="00D43CEF" w:rsidRPr="002B16FB">
        <w:t xml:space="preserve">also </w:t>
      </w:r>
      <w:r w:rsidR="00B83A62" w:rsidRPr="002B16FB">
        <w:t>compatible with the needs of farmers and the food cultures of different countries and regions</w:t>
      </w:r>
      <w:r w:rsidRPr="002B16FB">
        <w:t>.</w:t>
      </w:r>
    </w:p>
    <w:p w14:paraId="687EB4D5" w14:textId="1CA4731F" w:rsidR="00E9300E" w:rsidRPr="002B16FB" w:rsidRDefault="00E9300E" w:rsidP="00D17B52">
      <w:pPr>
        <w:rPr>
          <w:sz w:val="16"/>
          <w:szCs w:val="16"/>
        </w:rPr>
      </w:pPr>
    </w:p>
    <w:p w14:paraId="6BE123A2" w14:textId="611A51A9" w:rsidR="007B3B6A" w:rsidRPr="002B16FB" w:rsidRDefault="007B3B6A" w:rsidP="00D17B52">
      <w:pPr>
        <w:pStyle w:val="Heading3"/>
      </w:pPr>
      <w:r w:rsidRPr="002B16FB">
        <w:t xml:space="preserve">The EESC agrees with the Commission that EU legislation on placing products on the market is a key asset of the </w:t>
      </w:r>
      <w:r w:rsidR="00AA23B8" w:rsidRPr="002B16FB">
        <w:t>s</w:t>
      </w:r>
      <w:r w:rsidRPr="002B16FB">
        <w:t xml:space="preserve">ingle </w:t>
      </w:r>
      <w:r w:rsidR="00AA23B8" w:rsidRPr="002B16FB">
        <w:t>m</w:t>
      </w:r>
      <w:r w:rsidRPr="002B16FB">
        <w:t>arket and supports further harmoni</w:t>
      </w:r>
      <w:r w:rsidR="00DE01D8" w:rsidRPr="002B16FB">
        <w:t>s</w:t>
      </w:r>
      <w:r w:rsidRPr="002B16FB">
        <w:t xml:space="preserve">ation of product </w:t>
      </w:r>
      <w:r w:rsidR="005318C0" w:rsidRPr="002B16FB">
        <w:t xml:space="preserve">compliance </w:t>
      </w:r>
      <w:r w:rsidRPr="002B16FB">
        <w:t>and liability rules across the entire value chain, involving all stakeholders with a comprehensive approach (producers, processors, distributors, importers, etc.).</w:t>
      </w:r>
    </w:p>
    <w:p w14:paraId="166595A9" w14:textId="64BFF302" w:rsidR="007B3B6A" w:rsidRPr="002B16FB" w:rsidRDefault="007B3B6A" w:rsidP="00D17B52">
      <w:pPr>
        <w:rPr>
          <w:sz w:val="16"/>
          <w:szCs w:val="16"/>
        </w:rPr>
      </w:pPr>
    </w:p>
    <w:p w14:paraId="32DA7463" w14:textId="7F8AD45D" w:rsidR="007B3B6A" w:rsidRPr="0081156E" w:rsidRDefault="007B3B6A" w:rsidP="00D17B52">
      <w:pPr>
        <w:pStyle w:val="Heading3"/>
        <w:rPr>
          <w:highlight w:val="yellow"/>
        </w:rPr>
      </w:pPr>
      <w:r w:rsidRPr="0081156E">
        <w:rPr>
          <w:highlight w:val="yellow"/>
        </w:rPr>
        <w:t xml:space="preserve">The EESC agrees with the Commission that territorial supply constraints in retail and wholesale trade fragment the </w:t>
      </w:r>
      <w:r w:rsidR="00AA23B8" w:rsidRPr="0081156E">
        <w:rPr>
          <w:highlight w:val="yellow"/>
        </w:rPr>
        <w:t>s</w:t>
      </w:r>
      <w:r w:rsidRPr="0081156E">
        <w:rPr>
          <w:highlight w:val="yellow"/>
        </w:rPr>
        <w:t xml:space="preserve">ingle </w:t>
      </w:r>
      <w:r w:rsidR="00AA23B8" w:rsidRPr="0081156E">
        <w:rPr>
          <w:highlight w:val="yellow"/>
        </w:rPr>
        <w:t>m</w:t>
      </w:r>
      <w:r w:rsidRPr="0081156E">
        <w:rPr>
          <w:highlight w:val="yellow"/>
        </w:rPr>
        <w:t xml:space="preserve">arket, restrict consumer choice and lead to price disparities across the EU. The EESC </w:t>
      </w:r>
      <w:r w:rsidR="00AA23B8" w:rsidRPr="0081156E">
        <w:rPr>
          <w:highlight w:val="yellow"/>
        </w:rPr>
        <w:t xml:space="preserve">therefore </w:t>
      </w:r>
      <w:r w:rsidRPr="0081156E">
        <w:rPr>
          <w:highlight w:val="yellow"/>
        </w:rPr>
        <w:t>encourages the Commission to consider a dedicated legislative initiative in this respect, noting that competition rules only partially address this issue when (concerted) practices violate Article 101 TFEU.</w:t>
      </w:r>
    </w:p>
    <w:p w14:paraId="1521D9F8" w14:textId="63A01732" w:rsidR="007B3B6A" w:rsidRPr="002B16FB" w:rsidRDefault="007B3B6A" w:rsidP="00D17B52">
      <w:pPr>
        <w:rPr>
          <w:sz w:val="16"/>
          <w:szCs w:val="16"/>
        </w:rPr>
      </w:pPr>
    </w:p>
    <w:p w14:paraId="0FA6D540" w14:textId="69D9364A" w:rsidR="007B3B6A" w:rsidRPr="002B16FB" w:rsidRDefault="007B3B6A" w:rsidP="00D17B52">
      <w:pPr>
        <w:pStyle w:val="Heading2"/>
        <w:keepNext/>
        <w:rPr>
          <w:b/>
          <w:bCs/>
        </w:rPr>
      </w:pPr>
      <w:r w:rsidRPr="002B16FB">
        <w:rPr>
          <w:b/>
          <w:bCs/>
        </w:rPr>
        <w:t>Barriers to services</w:t>
      </w:r>
    </w:p>
    <w:p w14:paraId="4D04A606" w14:textId="725D3A2D" w:rsidR="007B3B6A" w:rsidRPr="002B16FB" w:rsidRDefault="007B3B6A" w:rsidP="00D17B52">
      <w:pPr>
        <w:keepNext/>
        <w:rPr>
          <w:sz w:val="16"/>
          <w:szCs w:val="16"/>
        </w:rPr>
      </w:pPr>
    </w:p>
    <w:p w14:paraId="7F14A37E" w14:textId="3C9E5FBD" w:rsidR="008F310E" w:rsidRPr="002B16FB" w:rsidRDefault="008F310E" w:rsidP="00D17B52">
      <w:pPr>
        <w:pStyle w:val="Heading3"/>
      </w:pPr>
      <w:r w:rsidRPr="002B16FB">
        <w:t>The EESC agrees with the Commission</w:t>
      </w:r>
      <w:r w:rsidR="00DE01D8" w:rsidRPr="002B16FB">
        <w:t>’</w:t>
      </w:r>
      <w:r w:rsidRPr="002B16FB">
        <w:t>s assessment: services make up the largest part of Europe</w:t>
      </w:r>
      <w:r w:rsidR="00DE01D8" w:rsidRPr="002B16FB">
        <w:t>’</w:t>
      </w:r>
      <w:r w:rsidRPr="002B16FB">
        <w:t>s economy.</w:t>
      </w:r>
    </w:p>
    <w:p w14:paraId="55D11707" w14:textId="77777777" w:rsidR="008F310E" w:rsidRPr="002B16FB" w:rsidRDefault="008F310E" w:rsidP="00D17B52">
      <w:pPr>
        <w:pStyle w:val="Heading3"/>
        <w:numPr>
          <w:ilvl w:val="0"/>
          <w:numId w:val="0"/>
        </w:numPr>
        <w:rPr>
          <w:sz w:val="16"/>
          <w:szCs w:val="16"/>
        </w:rPr>
      </w:pPr>
    </w:p>
    <w:p w14:paraId="516D43EE" w14:textId="43CE8DA7" w:rsidR="008F310E" w:rsidRPr="0081156E" w:rsidRDefault="008F310E" w:rsidP="00D17B52">
      <w:pPr>
        <w:pStyle w:val="Heading3"/>
        <w:rPr>
          <w:highlight w:val="yellow"/>
        </w:rPr>
      </w:pPr>
      <w:r w:rsidRPr="002B16FB">
        <w:t xml:space="preserve">In </w:t>
      </w:r>
      <w:r w:rsidR="00AA23B8" w:rsidRPr="002B16FB">
        <w:t xml:space="preserve">this </w:t>
      </w:r>
      <w:r w:rsidRPr="002B16FB">
        <w:t xml:space="preserve">context, </w:t>
      </w:r>
      <w:r w:rsidRPr="0081156E">
        <w:rPr>
          <w:highlight w:val="yellow"/>
        </w:rPr>
        <w:t>the EESC recogni</w:t>
      </w:r>
      <w:r w:rsidR="00DE01D8" w:rsidRPr="0081156E">
        <w:rPr>
          <w:highlight w:val="yellow"/>
        </w:rPr>
        <w:t>s</w:t>
      </w:r>
      <w:r w:rsidRPr="0081156E">
        <w:rPr>
          <w:highlight w:val="yellow"/>
        </w:rPr>
        <w:t xml:space="preserve">es that retail competitiveness is held back </w:t>
      </w:r>
      <w:r w:rsidR="00AA23B8" w:rsidRPr="0081156E">
        <w:rPr>
          <w:highlight w:val="yellow"/>
        </w:rPr>
        <w:t xml:space="preserve">by </w:t>
      </w:r>
      <w:r w:rsidRPr="0081156E">
        <w:rPr>
          <w:highlight w:val="yellow"/>
        </w:rPr>
        <w:t>restriction of the establishment of shops and their operations. A guide on proportionality could be a useful tool. However, the EESC is concerned that this will not be enough to compel Member States to change their frameworks, given that the situation is worsening for trade in many countries, particularly in France. The EESC therefore calls on the Commission to be extremely vigilant on this issue.</w:t>
      </w:r>
    </w:p>
    <w:p w14:paraId="67D3D9E0" w14:textId="77777777" w:rsidR="008F310E" w:rsidRPr="002B16FB" w:rsidRDefault="008F310E" w:rsidP="00D17B52">
      <w:pPr>
        <w:pStyle w:val="Heading3"/>
        <w:numPr>
          <w:ilvl w:val="0"/>
          <w:numId w:val="0"/>
        </w:numPr>
        <w:rPr>
          <w:sz w:val="16"/>
          <w:szCs w:val="16"/>
        </w:rPr>
      </w:pPr>
    </w:p>
    <w:p w14:paraId="455A4D1A" w14:textId="3DC259D7" w:rsidR="008F310E" w:rsidRPr="002B16FB" w:rsidRDefault="008F310E" w:rsidP="00D17B52">
      <w:pPr>
        <w:pStyle w:val="Heading3"/>
      </w:pPr>
      <w:r w:rsidRPr="002B16FB">
        <w:t>In parallel, the EESC supports the Commission</w:t>
      </w:r>
      <w:r w:rsidR="00DE01D8" w:rsidRPr="002B16FB">
        <w:t>’</w:t>
      </w:r>
      <w:r w:rsidRPr="002B16FB">
        <w:t>s goal to improve the recognition of professional qualifications across Europe, as it is essential for freedom of movement for people within the single market. Special attention should</w:t>
      </w:r>
      <w:r w:rsidR="00AA23B8" w:rsidRPr="002B16FB">
        <w:t>,</w:t>
      </w:r>
      <w:r w:rsidRPr="002B16FB">
        <w:t xml:space="preserve"> however</w:t>
      </w:r>
      <w:r w:rsidR="00AA23B8" w:rsidRPr="002B16FB">
        <w:t>,</w:t>
      </w:r>
      <w:r w:rsidRPr="002B16FB">
        <w:t xml:space="preserve"> be paid to verifying declared skills, particularly in professions related to health, safety and welfare.</w:t>
      </w:r>
    </w:p>
    <w:p w14:paraId="344CB969" w14:textId="77777777" w:rsidR="008F310E" w:rsidRPr="002B16FB" w:rsidRDefault="008F310E" w:rsidP="00D17B52">
      <w:pPr>
        <w:pStyle w:val="Heading3"/>
        <w:numPr>
          <w:ilvl w:val="0"/>
          <w:numId w:val="0"/>
        </w:numPr>
        <w:rPr>
          <w:sz w:val="16"/>
          <w:szCs w:val="16"/>
        </w:rPr>
      </w:pPr>
    </w:p>
    <w:p w14:paraId="5C4D5E8E" w14:textId="4252A507" w:rsidR="007B3B6A" w:rsidRPr="002B16FB" w:rsidRDefault="007B3B6A" w:rsidP="00C44AEA">
      <w:pPr>
        <w:pStyle w:val="Heading3"/>
        <w:numPr>
          <w:ilvl w:val="0"/>
          <w:numId w:val="0"/>
        </w:numPr>
        <w:ind w:left="567"/>
        <w:rPr>
          <w:sz w:val="16"/>
          <w:szCs w:val="16"/>
        </w:rPr>
      </w:pPr>
    </w:p>
    <w:p w14:paraId="6A26C18D" w14:textId="1AAAC990" w:rsidR="008F310E" w:rsidRPr="002B16FB" w:rsidRDefault="008F310E" w:rsidP="00D17B52">
      <w:pPr>
        <w:pStyle w:val="Heading3"/>
      </w:pPr>
      <w:r w:rsidRPr="002B16FB">
        <w:t xml:space="preserve">The EESC welcomes the coherent approach adopted by the European Commission in addressing qualification recognition in both the </w:t>
      </w:r>
      <w:r w:rsidR="00D66F2F" w:rsidRPr="002B16FB">
        <w:t>‘single market’ and ‘union for skills’ communications.</w:t>
      </w:r>
      <w:r w:rsidRPr="002B16FB">
        <w:t xml:space="preserve"> While supporting efforts to facilitate the recognition of professional qualifications, including those from third countries, the Committee stresses that such recognition must ensure that declared skills are verifiable, clearly defined and of proven quality. In particular, the EESC warns against reliance on self-certification mechanisms, especially in professions that involve health, safety or high public responsibility.</w:t>
      </w:r>
    </w:p>
    <w:p w14:paraId="6BDC1E5A" w14:textId="4D7994C0" w:rsidR="008F310E" w:rsidRPr="002B16FB" w:rsidRDefault="008F310E" w:rsidP="00D17B52">
      <w:pPr>
        <w:pStyle w:val="Heading3"/>
        <w:numPr>
          <w:ilvl w:val="0"/>
          <w:numId w:val="0"/>
        </w:numPr>
        <w:rPr>
          <w:sz w:val="16"/>
          <w:szCs w:val="16"/>
        </w:rPr>
      </w:pPr>
    </w:p>
    <w:p w14:paraId="7685649E" w14:textId="77777777" w:rsidR="008F310E" w:rsidRPr="002B16FB" w:rsidRDefault="008F310E" w:rsidP="00D17B52">
      <w:pPr>
        <w:pStyle w:val="Heading3"/>
      </w:pPr>
      <w:r w:rsidRPr="002B16FB">
        <w:t>The EESC recognises the importance of improving the functioning of the single market for services as a driver of competitiveness, innovation and growth. However, this objective must be pursued in full compliance with existing social standards and the prerogatives of Member States in the field of labour law.</w:t>
      </w:r>
    </w:p>
    <w:p w14:paraId="76720066" w14:textId="2B064841" w:rsidR="008F310E" w:rsidRPr="002B16FB" w:rsidRDefault="008F310E" w:rsidP="00D17B52">
      <w:pPr>
        <w:pStyle w:val="Heading3"/>
        <w:numPr>
          <w:ilvl w:val="0"/>
          <w:numId w:val="0"/>
        </w:numPr>
        <w:rPr>
          <w:sz w:val="16"/>
          <w:szCs w:val="16"/>
        </w:rPr>
      </w:pPr>
    </w:p>
    <w:p w14:paraId="0E8644C4" w14:textId="176E5A3C" w:rsidR="008F310E" w:rsidRPr="002B16FB" w:rsidRDefault="008F310E" w:rsidP="00D17B52">
      <w:pPr>
        <w:pStyle w:val="Heading3"/>
      </w:pPr>
      <w:r w:rsidRPr="002B16FB">
        <w:t>In accordance with Article 114(2) TFEU, internal market legislation shall not affect national provisions relating to the rights and interests of employed persons. The EESC therefore underlines the need to ensure that future initiatives</w:t>
      </w:r>
      <w:r w:rsidR="008E742F" w:rsidRPr="002B16FB">
        <w:t xml:space="preserve"> on freedom to provide services</w:t>
      </w:r>
      <w:r w:rsidRPr="002B16FB">
        <w:t xml:space="preserve"> fully respect the national legislation and collective agreements applicable in the host country.</w:t>
      </w:r>
    </w:p>
    <w:p w14:paraId="5008C27B" w14:textId="06EB2E79" w:rsidR="008F310E" w:rsidRPr="002B16FB" w:rsidRDefault="008F310E" w:rsidP="00D17B52">
      <w:pPr>
        <w:pStyle w:val="Heading3"/>
        <w:numPr>
          <w:ilvl w:val="0"/>
          <w:numId w:val="0"/>
        </w:numPr>
        <w:rPr>
          <w:sz w:val="16"/>
          <w:szCs w:val="16"/>
        </w:rPr>
      </w:pPr>
    </w:p>
    <w:p w14:paraId="29D1D79E" w14:textId="5484847F" w:rsidR="008F310E" w:rsidRPr="002B16FB" w:rsidRDefault="008F310E" w:rsidP="00D17B52">
      <w:pPr>
        <w:pStyle w:val="Heading3"/>
      </w:pPr>
      <w:r w:rsidRPr="002B16FB">
        <w:t>The Committee encourages a balanced approach that promotes fair competition, improves service provision across borders and safeguards workers</w:t>
      </w:r>
      <w:r w:rsidR="00DE01D8" w:rsidRPr="002B16FB">
        <w:t>’</w:t>
      </w:r>
      <w:r w:rsidRPr="002B16FB">
        <w:t xml:space="preserve"> rights and equal treatment, thereby contributing to an integrated and socially sustainable single market</w:t>
      </w:r>
      <w:r w:rsidR="00302768" w:rsidRPr="002B16FB">
        <w:t xml:space="preserve"> as prescribed by Article 9 TFEU</w:t>
      </w:r>
      <w:r w:rsidRPr="002B16FB">
        <w:t>.</w:t>
      </w:r>
    </w:p>
    <w:p w14:paraId="66904248" w14:textId="77777777" w:rsidR="008F310E" w:rsidRPr="002B16FB" w:rsidRDefault="008F310E" w:rsidP="00D17B52">
      <w:pPr>
        <w:rPr>
          <w:sz w:val="16"/>
          <w:szCs w:val="16"/>
        </w:rPr>
      </w:pPr>
    </w:p>
    <w:p w14:paraId="090247F7" w14:textId="793A1951" w:rsidR="008F310E" w:rsidRPr="002B16FB" w:rsidRDefault="008F310E" w:rsidP="00D17B52">
      <w:pPr>
        <w:pStyle w:val="Heading3"/>
      </w:pPr>
      <w:r w:rsidRPr="002B16FB">
        <w:t xml:space="preserve">The EESC calls on the Commission to define clear and objective criteria in its upcoming legal guidance to ensure legal certainty and prevent misuse of </w:t>
      </w:r>
      <w:r w:rsidR="00D43CEF" w:rsidRPr="002B16FB">
        <w:t xml:space="preserve">the </w:t>
      </w:r>
      <w:r w:rsidRPr="002B16FB">
        <w:t>principle</w:t>
      </w:r>
      <w:r w:rsidR="009F506A" w:rsidRPr="002B16FB">
        <w:t xml:space="preserve"> of cross-border provision of services</w:t>
      </w:r>
      <w:r w:rsidRPr="002B16FB">
        <w:t>.</w:t>
      </w:r>
    </w:p>
    <w:p w14:paraId="3511C0F9" w14:textId="77777777" w:rsidR="008F310E" w:rsidRPr="002B16FB" w:rsidRDefault="008F310E" w:rsidP="00D17B52">
      <w:pPr>
        <w:rPr>
          <w:sz w:val="16"/>
          <w:szCs w:val="16"/>
        </w:rPr>
      </w:pPr>
    </w:p>
    <w:p w14:paraId="4BA8924C" w14:textId="672F4FBD" w:rsidR="008F310E" w:rsidRPr="002B16FB" w:rsidRDefault="008F310E" w:rsidP="00D17B52">
      <w:pPr>
        <w:pStyle w:val="Heading3"/>
      </w:pPr>
      <w:r w:rsidRPr="002B16FB">
        <w:t xml:space="preserve">The EESC acknowledges that Directive 2014/67/EU has contributed to reducing fraud in the posting of workers. However, it notes that many companies, especially SMEs, continue to face unfair competition due to circumvention of the rules and persistent fraudulent practices. </w:t>
      </w:r>
      <w:r w:rsidR="009048A5" w:rsidRPr="002B16FB">
        <w:t>It stresses that enforcement of existing rules must remain a priority and highlights the importance of the prior declaration of posting for effective inspections by national authorities</w:t>
      </w:r>
      <w:r w:rsidRPr="002B16FB">
        <w:t>.</w:t>
      </w:r>
    </w:p>
    <w:p w14:paraId="154416CB" w14:textId="40599B2C" w:rsidR="008F310E" w:rsidRPr="002B16FB" w:rsidRDefault="008F310E" w:rsidP="00D17B52">
      <w:pPr>
        <w:pStyle w:val="Heading3"/>
        <w:numPr>
          <w:ilvl w:val="0"/>
          <w:numId w:val="0"/>
        </w:numPr>
        <w:rPr>
          <w:sz w:val="16"/>
          <w:szCs w:val="16"/>
        </w:rPr>
      </w:pPr>
    </w:p>
    <w:p w14:paraId="48A2CB77" w14:textId="44EA2320" w:rsidR="00486A2E" w:rsidRPr="0081156E" w:rsidRDefault="00486A2E" w:rsidP="00C44AEA">
      <w:pPr>
        <w:pStyle w:val="Heading3"/>
        <w:rPr>
          <w:highlight w:val="green"/>
        </w:rPr>
      </w:pPr>
      <w:r w:rsidRPr="0081156E">
        <w:rPr>
          <w:highlight w:val="green"/>
        </w:rPr>
        <w:t xml:space="preserve">The EESC proposes a reform of the rules on subcontracting, including in the context of posted workers, </w:t>
      </w:r>
      <w:proofErr w:type="gramStart"/>
      <w:r w:rsidRPr="0081156E">
        <w:rPr>
          <w:highlight w:val="green"/>
        </w:rPr>
        <w:t>in order to</w:t>
      </w:r>
      <w:proofErr w:type="gramEnd"/>
      <w:r w:rsidRPr="0081156E">
        <w:rPr>
          <w:highlight w:val="green"/>
        </w:rPr>
        <w:t xml:space="preserve"> </w:t>
      </w:r>
      <w:r w:rsidR="00486B23" w:rsidRPr="0081156E">
        <w:rPr>
          <w:highlight w:val="green"/>
        </w:rPr>
        <w:t xml:space="preserve">prevent the unnecessary </w:t>
      </w:r>
      <w:r w:rsidRPr="0081156E">
        <w:rPr>
          <w:highlight w:val="green"/>
        </w:rPr>
        <w:t xml:space="preserve">length of subcontracting chains and </w:t>
      </w:r>
      <w:r w:rsidR="00486B23" w:rsidRPr="0081156E">
        <w:rPr>
          <w:highlight w:val="green"/>
        </w:rPr>
        <w:t xml:space="preserve">thereby </w:t>
      </w:r>
      <w:r w:rsidRPr="0081156E">
        <w:rPr>
          <w:highlight w:val="green"/>
        </w:rPr>
        <w:t>to ensure the principle of equal treatment for all workers performing the same activity, regardless of their contractual position within the subcontracting structure.</w:t>
      </w:r>
    </w:p>
    <w:p w14:paraId="78BCE3A2" w14:textId="280A4650" w:rsidR="00F82668" w:rsidRPr="002B16FB" w:rsidRDefault="00F82668" w:rsidP="00D17B52">
      <w:pPr>
        <w:pStyle w:val="Heading3"/>
        <w:numPr>
          <w:ilvl w:val="0"/>
          <w:numId w:val="0"/>
        </w:numPr>
        <w:rPr>
          <w:sz w:val="16"/>
          <w:szCs w:val="16"/>
        </w:rPr>
      </w:pPr>
    </w:p>
    <w:p w14:paraId="0175B6DD" w14:textId="21B829AA" w:rsidR="00F82668" w:rsidRPr="002B16FB" w:rsidRDefault="00F82668" w:rsidP="00D17B52">
      <w:pPr>
        <w:pStyle w:val="Heading3"/>
      </w:pPr>
      <w:r w:rsidRPr="002B16FB">
        <w:tab/>
        <w:t>The EESC welcomes the Commission</w:t>
      </w:r>
      <w:r w:rsidR="00DE01D8" w:rsidRPr="002B16FB">
        <w:t>’</w:t>
      </w:r>
      <w:r w:rsidRPr="002B16FB">
        <w:t>s intention to strengthen the effectiveness of the European Labour Authority (ELA), including by enhancing its competences in handling personal data</w:t>
      </w:r>
      <w:r w:rsidR="00486B23" w:rsidRPr="002B16FB">
        <w:t xml:space="preserve"> and by providing the </w:t>
      </w:r>
      <w:r w:rsidR="005C0D02" w:rsidRPr="002B16FB">
        <w:t>a</w:t>
      </w:r>
      <w:r w:rsidR="00486B23" w:rsidRPr="002B16FB">
        <w:t>uthority with additional personnel</w:t>
      </w:r>
      <w:r w:rsidRPr="002B16FB">
        <w:t>.</w:t>
      </w:r>
      <w:r w:rsidR="00486A2E" w:rsidRPr="002B16FB">
        <w:t xml:space="preserve"> It also recommend</w:t>
      </w:r>
      <w:r w:rsidR="003E37C0" w:rsidRPr="002B16FB">
        <w:t>s</w:t>
      </w:r>
      <w:r w:rsidR="00486A2E" w:rsidRPr="002B16FB">
        <w:t xml:space="preserve"> extending the </w:t>
      </w:r>
      <w:r w:rsidR="003E37C0" w:rsidRPr="002B16FB">
        <w:t>ELA</w:t>
      </w:r>
      <w:r w:rsidR="00486A2E" w:rsidRPr="002B16FB">
        <w:t xml:space="preserve">’s remit to cover the situation of workers from third countries, </w:t>
      </w:r>
      <w:r w:rsidR="003E37C0" w:rsidRPr="002B16FB">
        <w:t xml:space="preserve">who are </w:t>
      </w:r>
      <w:r w:rsidR="00486A2E" w:rsidRPr="002B16FB">
        <w:t xml:space="preserve">currently excluded, </w:t>
      </w:r>
      <w:proofErr w:type="gramStart"/>
      <w:r w:rsidR="00486A2E" w:rsidRPr="002B16FB">
        <w:t>in order to</w:t>
      </w:r>
      <w:proofErr w:type="gramEnd"/>
      <w:r w:rsidR="00486A2E" w:rsidRPr="002B16FB">
        <w:t xml:space="preserve"> prevent abuses and improve the monitoring of compliance with rules within the single market.</w:t>
      </w:r>
    </w:p>
    <w:p w14:paraId="0A668C82" w14:textId="429E61A9" w:rsidR="00F82668" w:rsidRPr="002B16FB" w:rsidRDefault="00F82668" w:rsidP="00D17B52">
      <w:pPr>
        <w:rPr>
          <w:sz w:val="16"/>
          <w:szCs w:val="16"/>
        </w:rPr>
      </w:pPr>
    </w:p>
    <w:p w14:paraId="51156523" w14:textId="3E8EDC77" w:rsidR="00486A2E" w:rsidRPr="002B16FB" w:rsidRDefault="00486A2E" w:rsidP="00C44AEA">
      <w:pPr>
        <w:pStyle w:val="Heading3"/>
      </w:pPr>
      <w:r w:rsidRPr="002B16FB">
        <w:rPr>
          <w:color w:val="000000"/>
          <w:lang w:eastAsia="it-IT"/>
        </w:rPr>
        <w:t xml:space="preserve">The EESC welcomes the proposal to digitalise the application procedure for </w:t>
      </w:r>
      <w:r w:rsidR="00C11C26" w:rsidRPr="002B16FB">
        <w:rPr>
          <w:color w:val="000000"/>
          <w:lang w:eastAsia="it-IT"/>
        </w:rPr>
        <w:t xml:space="preserve">the </w:t>
      </w:r>
      <w:r w:rsidRPr="002B16FB">
        <w:rPr>
          <w:color w:val="000000"/>
          <w:lang w:eastAsia="it-IT"/>
        </w:rPr>
        <w:t xml:space="preserve">portable document </w:t>
      </w:r>
      <w:r w:rsidR="00C11C26" w:rsidRPr="002B16FB">
        <w:rPr>
          <w:color w:val="000000"/>
          <w:lang w:eastAsia="it-IT"/>
        </w:rPr>
        <w:t>‘</w:t>
      </w:r>
      <w:r w:rsidRPr="002B16FB">
        <w:rPr>
          <w:color w:val="000000"/>
          <w:lang w:eastAsia="it-IT"/>
        </w:rPr>
        <w:t>A1</w:t>
      </w:r>
      <w:r w:rsidR="00C11C26" w:rsidRPr="002B16FB">
        <w:rPr>
          <w:color w:val="000000"/>
          <w:lang w:eastAsia="it-IT"/>
        </w:rPr>
        <w:t>’</w:t>
      </w:r>
      <w:r w:rsidRPr="002B16FB">
        <w:rPr>
          <w:color w:val="000000"/>
          <w:lang w:eastAsia="it-IT"/>
        </w:rPr>
        <w:t xml:space="preserve"> through a European Social Security Pass (ESSPASS). This proposal should </w:t>
      </w:r>
      <w:r w:rsidR="00C11C26" w:rsidRPr="002B16FB">
        <w:rPr>
          <w:color w:val="000000"/>
          <w:lang w:eastAsia="it-IT"/>
        </w:rPr>
        <w:t xml:space="preserve">provide </w:t>
      </w:r>
      <w:r w:rsidRPr="002B16FB">
        <w:rPr>
          <w:color w:val="000000"/>
          <w:lang w:eastAsia="it-IT"/>
        </w:rPr>
        <w:t xml:space="preserve">the national competent authorities the possibility to digitally verify, in real time, any social security </w:t>
      </w:r>
      <w:r w:rsidR="00C11C26" w:rsidRPr="002B16FB">
        <w:rPr>
          <w:color w:val="000000"/>
          <w:lang w:eastAsia="it-IT"/>
        </w:rPr>
        <w:t>statements</w:t>
      </w:r>
      <w:r w:rsidRPr="002B16FB">
        <w:rPr>
          <w:color w:val="000000"/>
          <w:lang w:eastAsia="it-IT"/>
        </w:rPr>
        <w:t xml:space="preserve">, including the portable document </w:t>
      </w:r>
      <w:r w:rsidR="00C11C26" w:rsidRPr="002B16FB">
        <w:rPr>
          <w:color w:val="000000"/>
          <w:lang w:eastAsia="it-IT"/>
        </w:rPr>
        <w:t>‘</w:t>
      </w:r>
      <w:r w:rsidRPr="002B16FB">
        <w:rPr>
          <w:color w:val="000000"/>
          <w:lang w:eastAsia="it-IT"/>
        </w:rPr>
        <w:t>A1</w:t>
      </w:r>
      <w:r w:rsidR="00C11C26" w:rsidRPr="002B16FB">
        <w:rPr>
          <w:color w:val="000000"/>
          <w:lang w:eastAsia="it-IT"/>
        </w:rPr>
        <w:t>’</w:t>
      </w:r>
      <w:r w:rsidRPr="002B16FB">
        <w:rPr>
          <w:color w:val="000000"/>
          <w:lang w:eastAsia="it-IT"/>
        </w:rPr>
        <w:t>,</w:t>
      </w:r>
      <w:r w:rsidR="0070097A" w:rsidRPr="002B16FB">
        <w:rPr>
          <w:color w:val="000000"/>
          <w:lang w:eastAsia="it-IT"/>
        </w:rPr>
        <w:t xml:space="preserve"> thus</w:t>
      </w:r>
      <w:r w:rsidRPr="002B16FB">
        <w:rPr>
          <w:color w:val="000000"/>
          <w:lang w:eastAsia="it-IT"/>
        </w:rPr>
        <w:t xml:space="preserve"> reducing the risk of error and fraud.</w:t>
      </w:r>
    </w:p>
    <w:p w14:paraId="6285E8F4" w14:textId="77777777" w:rsidR="00F82668" w:rsidRPr="002B16FB" w:rsidRDefault="00F82668" w:rsidP="00D17B52"/>
    <w:p w14:paraId="5B3BE5E5" w14:textId="77777777" w:rsidR="00646AC2" w:rsidRPr="002B16FB" w:rsidRDefault="03385EDC" w:rsidP="00D17B52">
      <w:pPr>
        <w:jc w:val="center"/>
      </w:pPr>
      <w:r w:rsidRPr="002B16FB">
        <w:t>_____________</w:t>
      </w:r>
    </w:p>
    <w:sectPr w:rsidR="00646AC2" w:rsidRPr="002B16FB" w:rsidSect="009779AF">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9791" w14:textId="77777777" w:rsidR="00270E38" w:rsidRDefault="00270E38">
      <w:r>
        <w:separator/>
      </w:r>
    </w:p>
  </w:endnote>
  <w:endnote w:type="continuationSeparator" w:id="0">
    <w:p w14:paraId="7A2F7DB1" w14:textId="77777777" w:rsidR="00270E38" w:rsidRDefault="0027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D18F" w14:textId="77777777" w:rsidR="005D3D3C" w:rsidRPr="009779AF" w:rsidRDefault="005D3D3C" w:rsidP="00977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E5EE" w14:textId="0E5AF3DB" w:rsidR="00E32DC6" w:rsidRPr="009779AF" w:rsidRDefault="009779AF" w:rsidP="009779AF">
    <w:pPr>
      <w:pStyle w:val="Footer"/>
    </w:pPr>
    <w:r>
      <w:t xml:space="preserve">INT/1094 – EESC-2025-01859-00-01-PA-TRA (EN) </w:t>
    </w:r>
    <w:r>
      <w:fldChar w:fldCharType="begin"/>
    </w:r>
    <w:r>
      <w:instrText xml:space="preserve"> PAGE  \* Arabic  \* MERGEFORMAT </w:instrText>
    </w:r>
    <w:r>
      <w:fldChar w:fldCharType="separate"/>
    </w:r>
    <w:r w:rsidR="009B5F4B">
      <w:rPr>
        <w:noProof/>
      </w:rPr>
      <w:t>1</w:t>
    </w:r>
    <w:r>
      <w:fldChar w:fldCharType="end"/>
    </w:r>
    <w:r>
      <w:t>/</w:t>
    </w:r>
    <w:fldSimple w:instr=" NUMPAGES ">
      <w:r w:rsidR="009B5F4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B504" w14:textId="77777777" w:rsidR="005D3D3C" w:rsidRPr="009779AF" w:rsidRDefault="005D3D3C" w:rsidP="009779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2F41" w14:textId="77777777" w:rsidR="00D914D7" w:rsidRPr="009779AF" w:rsidRDefault="00D914D7" w:rsidP="009779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6CD2" w14:textId="4937A8B7" w:rsidR="00D914D7" w:rsidRPr="009779AF" w:rsidRDefault="009779AF" w:rsidP="009779AF">
    <w:pPr>
      <w:pStyle w:val="Footer"/>
    </w:pPr>
    <w:r>
      <w:t xml:space="preserve">INT/1094 – EESC-2025-01859-00-01-PA-TRA (EN) </w:t>
    </w:r>
    <w:r>
      <w:fldChar w:fldCharType="begin"/>
    </w:r>
    <w:r>
      <w:instrText xml:space="preserve"> PAGE  \* Arabic  \* MERGEFORMAT </w:instrText>
    </w:r>
    <w:r>
      <w:fldChar w:fldCharType="separate"/>
    </w:r>
    <w:r>
      <w:rPr>
        <w:noProof/>
      </w:rPr>
      <w:t>2</w:t>
    </w:r>
    <w:r>
      <w:fldChar w:fldCharType="end"/>
    </w:r>
    <w:r>
      <w:t>/</w:t>
    </w:r>
    <w:fldSimple w:instr=" NUMPAGES ">
      <w:r>
        <w:rPr>
          <w:noProof/>
        </w:rPr>
        <w:t>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D928" w14:textId="77777777" w:rsidR="00D914D7" w:rsidRPr="009779AF" w:rsidRDefault="00D914D7" w:rsidP="00977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DEA28" w14:textId="77777777" w:rsidR="00270E38" w:rsidRDefault="00270E38">
      <w:r>
        <w:separator/>
      </w:r>
    </w:p>
  </w:footnote>
  <w:footnote w:type="continuationSeparator" w:id="0">
    <w:p w14:paraId="4411D45C" w14:textId="77777777" w:rsidR="00270E38" w:rsidRDefault="00270E38">
      <w:r>
        <w:continuationSeparator/>
      </w:r>
    </w:p>
  </w:footnote>
  <w:footnote w:id="1">
    <w:p w14:paraId="27898988" w14:textId="2EA3DE3D" w:rsidR="00CE2707" w:rsidRPr="009551E2" w:rsidRDefault="00CE2707">
      <w:pPr>
        <w:pStyle w:val="FootnoteText"/>
        <w:rPr>
          <w:lang w:val="fi-FI"/>
        </w:rPr>
      </w:pPr>
      <w:r w:rsidRPr="005C0D02">
        <w:rPr>
          <w:rStyle w:val="FootnoteReference"/>
        </w:rPr>
        <w:footnoteRef/>
      </w:r>
      <w:r w:rsidRPr="009551E2">
        <w:rPr>
          <w:lang w:val="fi-FI"/>
        </w:rPr>
        <w:tab/>
        <w:t xml:space="preserve">OJ C, C/2025/3190, 2.7.2025, ELI: </w:t>
      </w:r>
      <w:hyperlink r:id="rId1" w:history="1">
        <w:r w:rsidRPr="009551E2">
          <w:rPr>
            <w:rStyle w:val="Hyperlink"/>
            <w:lang w:val="fi-FI"/>
          </w:rPr>
          <w:t>https://eur-lex.europa.eu/eli/C/2025/3190/oj</w:t>
        </w:r>
      </w:hyperlink>
      <w:r w:rsidRPr="009551E2">
        <w:rPr>
          <w:lang w:val="fi-F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7440" w14:textId="77777777" w:rsidR="005D3D3C" w:rsidRPr="009779AF" w:rsidRDefault="005D3D3C" w:rsidP="00977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3583" w14:textId="48F26915" w:rsidR="005D3D3C" w:rsidRPr="009779AF" w:rsidRDefault="005D3D3C" w:rsidP="00977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E43D" w14:textId="77777777" w:rsidR="005D3D3C" w:rsidRPr="009779AF" w:rsidRDefault="005D3D3C" w:rsidP="009779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2117" w14:textId="77777777" w:rsidR="00D914D7" w:rsidRPr="009779AF" w:rsidRDefault="00D914D7" w:rsidP="009779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55CC" w14:textId="65347AAB" w:rsidR="00D914D7" w:rsidRPr="009779AF" w:rsidRDefault="00D914D7" w:rsidP="009779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F160" w14:textId="77777777" w:rsidR="00D914D7" w:rsidRPr="009779AF" w:rsidRDefault="00D914D7" w:rsidP="00977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1C252E8"/>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5FB1A78"/>
    <w:multiLevelType w:val="hybridMultilevel"/>
    <w:tmpl w:val="93746CCE"/>
    <w:lvl w:ilvl="0" w:tplc="030ACE3C">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6067119C"/>
    <w:multiLevelType w:val="multilevel"/>
    <w:tmpl w:val="8CECB972"/>
    <w:lvl w:ilvl="0">
      <w:start w:val="1"/>
      <w:numFmt w:val="decimal"/>
      <w:suff w:val="nothing"/>
      <w:lvlText w:val="%1."/>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504052383">
    <w:abstractNumId w:val="0"/>
  </w:num>
  <w:num w:numId="2" w16cid:durableId="13419260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16cid:durableId="78269796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16cid:durableId="104282847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16cid:durableId="21049117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16cid:durableId="5272593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16cid:durableId="3908072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16cid:durableId="123620850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16cid:durableId="7343007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16cid:durableId="29225617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16cid:durableId="26234260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16cid:durableId="32382157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16cid:durableId="66802348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16cid:durableId="10971397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16cid:durableId="85276236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16cid:durableId="1600289419">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16cid:durableId="71096027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16cid:durableId="19558499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16cid:durableId="10641779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16cid:durableId="11422378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16cid:durableId="3335322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16cid:durableId="2101971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16cid:durableId="184504627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16cid:durableId="197146927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16cid:durableId="18330601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16cid:durableId="10438707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16cid:durableId="82427639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16cid:durableId="29688578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16cid:durableId="153892787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16cid:durableId="87878619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16cid:durableId="8977441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16cid:durableId="176864956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16cid:durableId="129722649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16cid:durableId="8169917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16cid:durableId="17736247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16cid:durableId="69769979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16cid:durableId="45163710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16cid:durableId="105809395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16cid:durableId="28508657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16cid:durableId="180272353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16cid:durableId="17732845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16cid:durableId="18409974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16cid:durableId="184975519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16cid:durableId="32952210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16cid:durableId="18472072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16cid:durableId="201683639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16cid:durableId="101202628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16cid:durableId="13372245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16cid:durableId="8798958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16cid:durableId="35785050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16cid:durableId="21189888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16cid:durableId="181000514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16cid:durableId="7669717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16cid:durableId="21268491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16cid:durableId="13015760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16cid:durableId="134173279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16cid:durableId="46566120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16cid:durableId="135561227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16cid:durableId="188089680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16cid:durableId="16482462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16cid:durableId="5118379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16cid:durableId="17296398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16cid:durableId="19570036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16cid:durableId="17594776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16cid:durableId="235288134">
    <w:abstractNumId w:val="1"/>
  </w:num>
  <w:num w:numId="66" w16cid:durableId="585117586">
    <w:abstractNumId w:val="0"/>
  </w:num>
  <w:num w:numId="67" w16cid:durableId="812672815">
    <w:abstractNumId w:val="0"/>
  </w:num>
  <w:num w:numId="68" w16cid:durableId="804352925">
    <w:abstractNumId w:val="0"/>
  </w:num>
  <w:num w:numId="69" w16cid:durableId="580678463">
    <w:abstractNumId w:val="0"/>
  </w:num>
  <w:num w:numId="70" w16cid:durableId="1483812638">
    <w:abstractNumId w:val="0"/>
  </w:num>
  <w:num w:numId="71" w16cid:durableId="2026859220">
    <w:abstractNumId w:val="4"/>
  </w:num>
  <w:num w:numId="72" w16cid:durableId="1397783286">
    <w:abstractNumId w:val="3"/>
  </w:num>
  <w:num w:numId="73" w16cid:durableId="427046470">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5AB9"/>
    <w:rsid w:val="00005EB9"/>
    <w:rsid w:val="00006E24"/>
    <w:rsid w:val="00007A40"/>
    <w:rsid w:val="00011D33"/>
    <w:rsid w:val="00020E6E"/>
    <w:rsid w:val="00031A4B"/>
    <w:rsid w:val="00033913"/>
    <w:rsid w:val="00033E5B"/>
    <w:rsid w:val="000357A8"/>
    <w:rsid w:val="000430A6"/>
    <w:rsid w:val="00044923"/>
    <w:rsid w:val="0005249C"/>
    <w:rsid w:val="000534A5"/>
    <w:rsid w:val="0005680D"/>
    <w:rsid w:val="00062587"/>
    <w:rsid w:val="00063FB4"/>
    <w:rsid w:val="0006793E"/>
    <w:rsid w:val="00072E0F"/>
    <w:rsid w:val="000735E5"/>
    <w:rsid w:val="0007392F"/>
    <w:rsid w:val="00087B39"/>
    <w:rsid w:val="00095CCE"/>
    <w:rsid w:val="00096502"/>
    <w:rsid w:val="000A0930"/>
    <w:rsid w:val="000A49BB"/>
    <w:rsid w:val="000A4CA5"/>
    <w:rsid w:val="000A70D4"/>
    <w:rsid w:val="000B082B"/>
    <w:rsid w:val="000B53D2"/>
    <w:rsid w:val="000C3441"/>
    <w:rsid w:val="000C7F53"/>
    <w:rsid w:val="000D2F8E"/>
    <w:rsid w:val="000E0F57"/>
    <w:rsid w:val="000E3B62"/>
    <w:rsid w:val="000F196B"/>
    <w:rsid w:val="000F3EF3"/>
    <w:rsid w:val="000F5714"/>
    <w:rsid w:val="00105361"/>
    <w:rsid w:val="001101F8"/>
    <w:rsid w:val="0011206F"/>
    <w:rsid w:val="00116476"/>
    <w:rsid w:val="0011656A"/>
    <w:rsid w:val="0012220C"/>
    <w:rsid w:val="00130457"/>
    <w:rsid w:val="00133338"/>
    <w:rsid w:val="0013664F"/>
    <w:rsid w:val="00136EA3"/>
    <w:rsid w:val="00137575"/>
    <w:rsid w:val="00144231"/>
    <w:rsid w:val="00150434"/>
    <w:rsid w:val="001546A8"/>
    <w:rsid w:val="00155721"/>
    <w:rsid w:val="0015678B"/>
    <w:rsid w:val="0016503F"/>
    <w:rsid w:val="0016674F"/>
    <w:rsid w:val="00167CA0"/>
    <w:rsid w:val="0017120D"/>
    <w:rsid w:val="001714F6"/>
    <w:rsid w:val="00176168"/>
    <w:rsid w:val="00177158"/>
    <w:rsid w:val="00180345"/>
    <w:rsid w:val="001808A5"/>
    <w:rsid w:val="00184FD4"/>
    <w:rsid w:val="00186B04"/>
    <w:rsid w:val="00186F1E"/>
    <w:rsid w:val="00190836"/>
    <w:rsid w:val="00193930"/>
    <w:rsid w:val="001963A5"/>
    <w:rsid w:val="00196F1E"/>
    <w:rsid w:val="00197FCA"/>
    <w:rsid w:val="001A27DB"/>
    <w:rsid w:val="001A6852"/>
    <w:rsid w:val="001B286A"/>
    <w:rsid w:val="001B2D02"/>
    <w:rsid w:val="001B3647"/>
    <w:rsid w:val="001B77FA"/>
    <w:rsid w:val="001C0ABE"/>
    <w:rsid w:val="001C2719"/>
    <w:rsid w:val="001C5852"/>
    <w:rsid w:val="001D25D5"/>
    <w:rsid w:val="001D45F0"/>
    <w:rsid w:val="001E4A33"/>
    <w:rsid w:val="001E5C27"/>
    <w:rsid w:val="001F602B"/>
    <w:rsid w:val="001F6AC8"/>
    <w:rsid w:val="002014E3"/>
    <w:rsid w:val="002037D5"/>
    <w:rsid w:val="00206F90"/>
    <w:rsid w:val="00207FD6"/>
    <w:rsid w:val="00212B03"/>
    <w:rsid w:val="002131AE"/>
    <w:rsid w:val="00215C10"/>
    <w:rsid w:val="00215C2D"/>
    <w:rsid w:val="002252C4"/>
    <w:rsid w:val="0023183E"/>
    <w:rsid w:val="002328AE"/>
    <w:rsid w:val="00235138"/>
    <w:rsid w:val="00240622"/>
    <w:rsid w:val="00243E36"/>
    <w:rsid w:val="0024540B"/>
    <w:rsid w:val="00245EF4"/>
    <w:rsid w:val="002469B8"/>
    <w:rsid w:val="00247B25"/>
    <w:rsid w:val="00250E11"/>
    <w:rsid w:val="00251383"/>
    <w:rsid w:val="002522C9"/>
    <w:rsid w:val="00252A21"/>
    <w:rsid w:val="00253E4F"/>
    <w:rsid w:val="002542E4"/>
    <w:rsid w:val="00261053"/>
    <w:rsid w:val="002614D5"/>
    <w:rsid w:val="00262FDE"/>
    <w:rsid w:val="00263629"/>
    <w:rsid w:val="00270E38"/>
    <w:rsid w:val="002769BD"/>
    <w:rsid w:val="00276A75"/>
    <w:rsid w:val="00276D82"/>
    <w:rsid w:val="002809EA"/>
    <w:rsid w:val="00284962"/>
    <w:rsid w:val="00286209"/>
    <w:rsid w:val="00287B0E"/>
    <w:rsid w:val="002A0B53"/>
    <w:rsid w:val="002A0EEF"/>
    <w:rsid w:val="002A76F9"/>
    <w:rsid w:val="002B16FB"/>
    <w:rsid w:val="002B2DF7"/>
    <w:rsid w:val="002C1DB1"/>
    <w:rsid w:val="002C3BF4"/>
    <w:rsid w:val="002C677B"/>
    <w:rsid w:val="002C749F"/>
    <w:rsid w:val="002D037F"/>
    <w:rsid w:val="002D0742"/>
    <w:rsid w:val="002D0A12"/>
    <w:rsid w:val="002D3FE8"/>
    <w:rsid w:val="002E4828"/>
    <w:rsid w:val="002E76D6"/>
    <w:rsid w:val="002E7B33"/>
    <w:rsid w:val="002F059B"/>
    <w:rsid w:val="002F28D4"/>
    <w:rsid w:val="002F5B0B"/>
    <w:rsid w:val="002F5E25"/>
    <w:rsid w:val="002F68C9"/>
    <w:rsid w:val="00300924"/>
    <w:rsid w:val="00302768"/>
    <w:rsid w:val="00304CB4"/>
    <w:rsid w:val="0030596E"/>
    <w:rsid w:val="003073C3"/>
    <w:rsid w:val="00323637"/>
    <w:rsid w:val="00324397"/>
    <w:rsid w:val="00324E8A"/>
    <w:rsid w:val="00326D28"/>
    <w:rsid w:val="00331D87"/>
    <w:rsid w:val="00332850"/>
    <w:rsid w:val="00334478"/>
    <w:rsid w:val="003346B4"/>
    <w:rsid w:val="00334AE6"/>
    <w:rsid w:val="00334DBB"/>
    <w:rsid w:val="00334E67"/>
    <w:rsid w:val="003365D0"/>
    <w:rsid w:val="003423F2"/>
    <w:rsid w:val="00342D4A"/>
    <w:rsid w:val="003439AB"/>
    <w:rsid w:val="0035034C"/>
    <w:rsid w:val="00354695"/>
    <w:rsid w:val="0035549B"/>
    <w:rsid w:val="00363CD0"/>
    <w:rsid w:val="003744A4"/>
    <w:rsid w:val="003755C8"/>
    <w:rsid w:val="00375687"/>
    <w:rsid w:val="00380AE0"/>
    <w:rsid w:val="00383324"/>
    <w:rsid w:val="003871E6"/>
    <w:rsid w:val="00387A75"/>
    <w:rsid w:val="003904FD"/>
    <w:rsid w:val="00394254"/>
    <w:rsid w:val="003A7F3F"/>
    <w:rsid w:val="003B0C32"/>
    <w:rsid w:val="003B3451"/>
    <w:rsid w:val="003C2BFB"/>
    <w:rsid w:val="003C436B"/>
    <w:rsid w:val="003C5337"/>
    <w:rsid w:val="003C5F92"/>
    <w:rsid w:val="003D539C"/>
    <w:rsid w:val="003D7A8C"/>
    <w:rsid w:val="003D7C00"/>
    <w:rsid w:val="003E37C0"/>
    <w:rsid w:val="003E56E5"/>
    <w:rsid w:val="003E7E60"/>
    <w:rsid w:val="003F00D4"/>
    <w:rsid w:val="003F2209"/>
    <w:rsid w:val="003F3D39"/>
    <w:rsid w:val="003F646A"/>
    <w:rsid w:val="003F6761"/>
    <w:rsid w:val="003F6A0A"/>
    <w:rsid w:val="004024F5"/>
    <w:rsid w:val="00402DE1"/>
    <w:rsid w:val="0040370A"/>
    <w:rsid w:val="00403D8B"/>
    <w:rsid w:val="004058F1"/>
    <w:rsid w:val="00407E7D"/>
    <w:rsid w:val="00410015"/>
    <w:rsid w:val="0041283D"/>
    <w:rsid w:val="00413AB4"/>
    <w:rsid w:val="00421373"/>
    <w:rsid w:val="00421FB7"/>
    <w:rsid w:val="00424DAF"/>
    <w:rsid w:val="0042763B"/>
    <w:rsid w:val="0043024C"/>
    <w:rsid w:val="00436706"/>
    <w:rsid w:val="00442E93"/>
    <w:rsid w:val="00443D38"/>
    <w:rsid w:val="00450E7A"/>
    <w:rsid w:val="00456AF8"/>
    <w:rsid w:val="0046718C"/>
    <w:rsid w:val="00470B15"/>
    <w:rsid w:val="00475869"/>
    <w:rsid w:val="00475A77"/>
    <w:rsid w:val="0048520C"/>
    <w:rsid w:val="004866A9"/>
    <w:rsid w:val="00486A2E"/>
    <w:rsid w:val="00486B23"/>
    <w:rsid w:val="0048754F"/>
    <w:rsid w:val="00487F19"/>
    <w:rsid w:val="00492774"/>
    <w:rsid w:val="00493D37"/>
    <w:rsid w:val="00496D7A"/>
    <w:rsid w:val="004A31BC"/>
    <w:rsid w:val="004A3F1A"/>
    <w:rsid w:val="004A3F45"/>
    <w:rsid w:val="004A4F4E"/>
    <w:rsid w:val="004A5738"/>
    <w:rsid w:val="004A6496"/>
    <w:rsid w:val="004B1AFA"/>
    <w:rsid w:val="004B7088"/>
    <w:rsid w:val="004C4D12"/>
    <w:rsid w:val="004C5B76"/>
    <w:rsid w:val="004D02CD"/>
    <w:rsid w:val="004D0B24"/>
    <w:rsid w:val="004D4B90"/>
    <w:rsid w:val="004D6B95"/>
    <w:rsid w:val="004D7F41"/>
    <w:rsid w:val="004E03A2"/>
    <w:rsid w:val="004E29F5"/>
    <w:rsid w:val="004E317E"/>
    <w:rsid w:val="004E3954"/>
    <w:rsid w:val="004E4D4E"/>
    <w:rsid w:val="004E5856"/>
    <w:rsid w:val="004F2330"/>
    <w:rsid w:val="004F53C6"/>
    <w:rsid w:val="004F55C6"/>
    <w:rsid w:val="004F69DB"/>
    <w:rsid w:val="004F6B87"/>
    <w:rsid w:val="004F6FCC"/>
    <w:rsid w:val="00501A20"/>
    <w:rsid w:val="00501C2D"/>
    <w:rsid w:val="00502637"/>
    <w:rsid w:val="005074BD"/>
    <w:rsid w:val="00511140"/>
    <w:rsid w:val="00513CFE"/>
    <w:rsid w:val="00523B6A"/>
    <w:rsid w:val="00525F6C"/>
    <w:rsid w:val="005318C0"/>
    <w:rsid w:val="00533C04"/>
    <w:rsid w:val="005435E2"/>
    <w:rsid w:val="00546AB4"/>
    <w:rsid w:val="005514E5"/>
    <w:rsid w:val="005567CC"/>
    <w:rsid w:val="005614AC"/>
    <w:rsid w:val="00563C84"/>
    <w:rsid w:val="005762F6"/>
    <w:rsid w:val="0058000A"/>
    <w:rsid w:val="00584FBE"/>
    <w:rsid w:val="00585483"/>
    <w:rsid w:val="00587378"/>
    <w:rsid w:val="00587C05"/>
    <w:rsid w:val="00590AAB"/>
    <w:rsid w:val="005938C3"/>
    <w:rsid w:val="0059468C"/>
    <w:rsid w:val="00594D76"/>
    <w:rsid w:val="00595125"/>
    <w:rsid w:val="0059659B"/>
    <w:rsid w:val="00596F21"/>
    <w:rsid w:val="005972BC"/>
    <w:rsid w:val="005B1CDD"/>
    <w:rsid w:val="005B1E19"/>
    <w:rsid w:val="005B55FC"/>
    <w:rsid w:val="005C0169"/>
    <w:rsid w:val="005C0D02"/>
    <w:rsid w:val="005C2D5E"/>
    <w:rsid w:val="005C3B81"/>
    <w:rsid w:val="005C650C"/>
    <w:rsid w:val="005D086C"/>
    <w:rsid w:val="005D11D3"/>
    <w:rsid w:val="005D3D3C"/>
    <w:rsid w:val="005D4E1F"/>
    <w:rsid w:val="005D4FB3"/>
    <w:rsid w:val="005E2F07"/>
    <w:rsid w:val="005E2FEA"/>
    <w:rsid w:val="005F314B"/>
    <w:rsid w:val="00611AF2"/>
    <w:rsid w:val="0061212B"/>
    <w:rsid w:val="006127AF"/>
    <w:rsid w:val="00613A98"/>
    <w:rsid w:val="00615FB2"/>
    <w:rsid w:val="00617BD1"/>
    <w:rsid w:val="00617CE8"/>
    <w:rsid w:val="00617E23"/>
    <w:rsid w:val="006278A0"/>
    <w:rsid w:val="0063095F"/>
    <w:rsid w:val="00631CBD"/>
    <w:rsid w:val="0063704F"/>
    <w:rsid w:val="00646AC2"/>
    <w:rsid w:val="00650390"/>
    <w:rsid w:val="00654DAB"/>
    <w:rsid w:val="006579DF"/>
    <w:rsid w:val="0066204A"/>
    <w:rsid w:val="00670A8E"/>
    <w:rsid w:val="00670E3C"/>
    <w:rsid w:val="00677F57"/>
    <w:rsid w:val="00680874"/>
    <w:rsid w:val="00681088"/>
    <w:rsid w:val="006814AA"/>
    <w:rsid w:val="00682D3D"/>
    <w:rsid w:val="0069577E"/>
    <w:rsid w:val="0069634B"/>
    <w:rsid w:val="00696623"/>
    <w:rsid w:val="006A04E9"/>
    <w:rsid w:val="006A4A03"/>
    <w:rsid w:val="006A7543"/>
    <w:rsid w:val="006B17AD"/>
    <w:rsid w:val="006B725C"/>
    <w:rsid w:val="006C273D"/>
    <w:rsid w:val="006C2AB7"/>
    <w:rsid w:val="006C5C4F"/>
    <w:rsid w:val="006C6282"/>
    <w:rsid w:val="006C762A"/>
    <w:rsid w:val="006D5FF9"/>
    <w:rsid w:val="006E0772"/>
    <w:rsid w:val="006E0F86"/>
    <w:rsid w:val="006E3260"/>
    <w:rsid w:val="006E5E7C"/>
    <w:rsid w:val="006E64E1"/>
    <w:rsid w:val="006F0B15"/>
    <w:rsid w:val="006F0DCC"/>
    <w:rsid w:val="0070097A"/>
    <w:rsid w:val="0070323F"/>
    <w:rsid w:val="00703DF9"/>
    <w:rsid w:val="007048EB"/>
    <w:rsid w:val="00704FBB"/>
    <w:rsid w:val="0070726A"/>
    <w:rsid w:val="0071226B"/>
    <w:rsid w:val="00717040"/>
    <w:rsid w:val="00733332"/>
    <w:rsid w:val="00741377"/>
    <w:rsid w:val="007468B8"/>
    <w:rsid w:val="00746E64"/>
    <w:rsid w:val="00755FC0"/>
    <w:rsid w:val="007622A7"/>
    <w:rsid w:val="00770ACA"/>
    <w:rsid w:val="0077466F"/>
    <w:rsid w:val="007749E3"/>
    <w:rsid w:val="007750A2"/>
    <w:rsid w:val="007817D6"/>
    <w:rsid w:val="00781996"/>
    <w:rsid w:val="00781E1C"/>
    <w:rsid w:val="00787912"/>
    <w:rsid w:val="0079177A"/>
    <w:rsid w:val="00794836"/>
    <w:rsid w:val="007948D5"/>
    <w:rsid w:val="007A15C9"/>
    <w:rsid w:val="007A6676"/>
    <w:rsid w:val="007B3B6A"/>
    <w:rsid w:val="007B7FF5"/>
    <w:rsid w:val="007C0C7C"/>
    <w:rsid w:val="007C3FC6"/>
    <w:rsid w:val="007D2CE9"/>
    <w:rsid w:val="007D4FED"/>
    <w:rsid w:val="007D54C2"/>
    <w:rsid w:val="007D69DA"/>
    <w:rsid w:val="007D70B1"/>
    <w:rsid w:val="007D7140"/>
    <w:rsid w:val="007E1CDB"/>
    <w:rsid w:val="007E408C"/>
    <w:rsid w:val="007E450E"/>
    <w:rsid w:val="007E50BF"/>
    <w:rsid w:val="007E7E21"/>
    <w:rsid w:val="007E7FDD"/>
    <w:rsid w:val="007F0460"/>
    <w:rsid w:val="007F0DA2"/>
    <w:rsid w:val="007F39CE"/>
    <w:rsid w:val="007F4D95"/>
    <w:rsid w:val="007F5E0D"/>
    <w:rsid w:val="00801085"/>
    <w:rsid w:val="00801A89"/>
    <w:rsid w:val="00804457"/>
    <w:rsid w:val="0081156E"/>
    <w:rsid w:val="00812061"/>
    <w:rsid w:val="00812138"/>
    <w:rsid w:val="008151F2"/>
    <w:rsid w:val="00816F3F"/>
    <w:rsid w:val="0081777A"/>
    <w:rsid w:val="008210E0"/>
    <w:rsid w:val="00824079"/>
    <w:rsid w:val="00827CC6"/>
    <w:rsid w:val="00831F0A"/>
    <w:rsid w:val="0083307B"/>
    <w:rsid w:val="00833A78"/>
    <w:rsid w:val="00841E46"/>
    <w:rsid w:val="0084585F"/>
    <w:rsid w:val="00853E53"/>
    <w:rsid w:val="0085535C"/>
    <w:rsid w:val="00857B80"/>
    <w:rsid w:val="00860FE6"/>
    <w:rsid w:val="00864D76"/>
    <w:rsid w:val="008656C9"/>
    <w:rsid w:val="0086711C"/>
    <w:rsid w:val="00867535"/>
    <w:rsid w:val="008711CF"/>
    <w:rsid w:val="00875923"/>
    <w:rsid w:val="00875C5B"/>
    <w:rsid w:val="0088041C"/>
    <w:rsid w:val="00883C5F"/>
    <w:rsid w:val="00883F0B"/>
    <w:rsid w:val="0089102A"/>
    <w:rsid w:val="00891C7D"/>
    <w:rsid w:val="00892F14"/>
    <w:rsid w:val="00892FA7"/>
    <w:rsid w:val="008A3301"/>
    <w:rsid w:val="008A4DF1"/>
    <w:rsid w:val="008A5636"/>
    <w:rsid w:val="008A6937"/>
    <w:rsid w:val="008B125E"/>
    <w:rsid w:val="008B241C"/>
    <w:rsid w:val="008B408B"/>
    <w:rsid w:val="008B4F11"/>
    <w:rsid w:val="008B5167"/>
    <w:rsid w:val="008C2362"/>
    <w:rsid w:val="008C3049"/>
    <w:rsid w:val="008C74D9"/>
    <w:rsid w:val="008D2118"/>
    <w:rsid w:val="008D2871"/>
    <w:rsid w:val="008D4AE9"/>
    <w:rsid w:val="008D5CF3"/>
    <w:rsid w:val="008D7D39"/>
    <w:rsid w:val="008E4574"/>
    <w:rsid w:val="008E742F"/>
    <w:rsid w:val="008F310E"/>
    <w:rsid w:val="008F4016"/>
    <w:rsid w:val="008F42FE"/>
    <w:rsid w:val="008F4A00"/>
    <w:rsid w:val="008F5402"/>
    <w:rsid w:val="008F639F"/>
    <w:rsid w:val="0090053A"/>
    <w:rsid w:val="00900DE1"/>
    <w:rsid w:val="00901C2A"/>
    <w:rsid w:val="009048A5"/>
    <w:rsid w:val="009118C7"/>
    <w:rsid w:val="00920BA1"/>
    <w:rsid w:val="009225B6"/>
    <w:rsid w:val="00925397"/>
    <w:rsid w:val="00933A21"/>
    <w:rsid w:val="00933C85"/>
    <w:rsid w:val="00934C10"/>
    <w:rsid w:val="0093662A"/>
    <w:rsid w:val="0094060C"/>
    <w:rsid w:val="00942C4B"/>
    <w:rsid w:val="00944196"/>
    <w:rsid w:val="00953B6D"/>
    <w:rsid w:val="009551E2"/>
    <w:rsid w:val="009606A5"/>
    <w:rsid w:val="00962F1F"/>
    <w:rsid w:val="00965304"/>
    <w:rsid w:val="00971293"/>
    <w:rsid w:val="00971F13"/>
    <w:rsid w:val="00973A3B"/>
    <w:rsid w:val="00975CDA"/>
    <w:rsid w:val="009762F8"/>
    <w:rsid w:val="009779AF"/>
    <w:rsid w:val="00982253"/>
    <w:rsid w:val="00983EAE"/>
    <w:rsid w:val="0098760B"/>
    <w:rsid w:val="009946FB"/>
    <w:rsid w:val="009A11DD"/>
    <w:rsid w:val="009B30AA"/>
    <w:rsid w:val="009B5217"/>
    <w:rsid w:val="009B5F4B"/>
    <w:rsid w:val="009C05A5"/>
    <w:rsid w:val="009C1551"/>
    <w:rsid w:val="009C3685"/>
    <w:rsid w:val="009C48DE"/>
    <w:rsid w:val="009D48F7"/>
    <w:rsid w:val="009D565E"/>
    <w:rsid w:val="009D60D9"/>
    <w:rsid w:val="009E1E1E"/>
    <w:rsid w:val="009E2820"/>
    <w:rsid w:val="009E33E3"/>
    <w:rsid w:val="009E3430"/>
    <w:rsid w:val="009E7F16"/>
    <w:rsid w:val="009F1E65"/>
    <w:rsid w:val="009F27F8"/>
    <w:rsid w:val="009F5052"/>
    <w:rsid w:val="009F506A"/>
    <w:rsid w:val="00A03083"/>
    <w:rsid w:val="00A04C85"/>
    <w:rsid w:val="00A100F0"/>
    <w:rsid w:val="00A156E6"/>
    <w:rsid w:val="00A177C5"/>
    <w:rsid w:val="00A24887"/>
    <w:rsid w:val="00A27D86"/>
    <w:rsid w:val="00A30A3D"/>
    <w:rsid w:val="00A32EEB"/>
    <w:rsid w:val="00A33151"/>
    <w:rsid w:val="00A36970"/>
    <w:rsid w:val="00A41EB4"/>
    <w:rsid w:val="00A44BFF"/>
    <w:rsid w:val="00A45381"/>
    <w:rsid w:val="00A457B5"/>
    <w:rsid w:val="00A501E3"/>
    <w:rsid w:val="00A50F0C"/>
    <w:rsid w:val="00A56441"/>
    <w:rsid w:val="00A57C08"/>
    <w:rsid w:val="00A60664"/>
    <w:rsid w:val="00A642A5"/>
    <w:rsid w:val="00A736DD"/>
    <w:rsid w:val="00A76D17"/>
    <w:rsid w:val="00A82869"/>
    <w:rsid w:val="00A8758C"/>
    <w:rsid w:val="00AA127E"/>
    <w:rsid w:val="00AA19AE"/>
    <w:rsid w:val="00AA23B8"/>
    <w:rsid w:val="00AA423D"/>
    <w:rsid w:val="00AA6A95"/>
    <w:rsid w:val="00AB10DE"/>
    <w:rsid w:val="00AB358A"/>
    <w:rsid w:val="00AB3668"/>
    <w:rsid w:val="00AB5ED7"/>
    <w:rsid w:val="00AC0B4C"/>
    <w:rsid w:val="00AD0AEE"/>
    <w:rsid w:val="00AD49E3"/>
    <w:rsid w:val="00AD4B4F"/>
    <w:rsid w:val="00AF0616"/>
    <w:rsid w:val="00AF0E28"/>
    <w:rsid w:val="00AF3496"/>
    <w:rsid w:val="00AF6F9B"/>
    <w:rsid w:val="00B01409"/>
    <w:rsid w:val="00B10DBD"/>
    <w:rsid w:val="00B136CF"/>
    <w:rsid w:val="00B13BAD"/>
    <w:rsid w:val="00B15629"/>
    <w:rsid w:val="00B2372C"/>
    <w:rsid w:val="00B32F70"/>
    <w:rsid w:val="00B373D0"/>
    <w:rsid w:val="00B43AAA"/>
    <w:rsid w:val="00B53139"/>
    <w:rsid w:val="00B562CE"/>
    <w:rsid w:val="00B62DE2"/>
    <w:rsid w:val="00B74417"/>
    <w:rsid w:val="00B7693A"/>
    <w:rsid w:val="00B77246"/>
    <w:rsid w:val="00B83A62"/>
    <w:rsid w:val="00B866CD"/>
    <w:rsid w:val="00B93034"/>
    <w:rsid w:val="00B93A81"/>
    <w:rsid w:val="00B97C5D"/>
    <w:rsid w:val="00BA1290"/>
    <w:rsid w:val="00BA5DC2"/>
    <w:rsid w:val="00BB2792"/>
    <w:rsid w:val="00BB76BF"/>
    <w:rsid w:val="00BC1AD1"/>
    <w:rsid w:val="00BC1D82"/>
    <w:rsid w:val="00BC3B76"/>
    <w:rsid w:val="00BC4A58"/>
    <w:rsid w:val="00BC5E8F"/>
    <w:rsid w:val="00BC613B"/>
    <w:rsid w:val="00BD2A55"/>
    <w:rsid w:val="00BD4AC5"/>
    <w:rsid w:val="00BD51D9"/>
    <w:rsid w:val="00BD64E2"/>
    <w:rsid w:val="00BE4995"/>
    <w:rsid w:val="00BF429A"/>
    <w:rsid w:val="00BF62BE"/>
    <w:rsid w:val="00C0487B"/>
    <w:rsid w:val="00C07126"/>
    <w:rsid w:val="00C11C26"/>
    <w:rsid w:val="00C12A51"/>
    <w:rsid w:val="00C12D93"/>
    <w:rsid w:val="00C13624"/>
    <w:rsid w:val="00C16853"/>
    <w:rsid w:val="00C1788A"/>
    <w:rsid w:val="00C263F0"/>
    <w:rsid w:val="00C27717"/>
    <w:rsid w:val="00C33D41"/>
    <w:rsid w:val="00C356F7"/>
    <w:rsid w:val="00C36E63"/>
    <w:rsid w:val="00C40AFD"/>
    <w:rsid w:val="00C41E20"/>
    <w:rsid w:val="00C42E3E"/>
    <w:rsid w:val="00C43093"/>
    <w:rsid w:val="00C432A1"/>
    <w:rsid w:val="00C44AEA"/>
    <w:rsid w:val="00C51C13"/>
    <w:rsid w:val="00C525A5"/>
    <w:rsid w:val="00C5300F"/>
    <w:rsid w:val="00C54555"/>
    <w:rsid w:val="00C54594"/>
    <w:rsid w:val="00C66CE0"/>
    <w:rsid w:val="00C71BED"/>
    <w:rsid w:val="00C737B2"/>
    <w:rsid w:val="00C81B53"/>
    <w:rsid w:val="00C82AD2"/>
    <w:rsid w:val="00C87F02"/>
    <w:rsid w:val="00C90559"/>
    <w:rsid w:val="00C90FB6"/>
    <w:rsid w:val="00C9220E"/>
    <w:rsid w:val="00C932BD"/>
    <w:rsid w:val="00C93429"/>
    <w:rsid w:val="00CA16C5"/>
    <w:rsid w:val="00CA415A"/>
    <w:rsid w:val="00CA7A35"/>
    <w:rsid w:val="00CB1536"/>
    <w:rsid w:val="00CB2FE4"/>
    <w:rsid w:val="00CB5058"/>
    <w:rsid w:val="00CB7FB8"/>
    <w:rsid w:val="00CC1F71"/>
    <w:rsid w:val="00CC5588"/>
    <w:rsid w:val="00CC5874"/>
    <w:rsid w:val="00CC5EB3"/>
    <w:rsid w:val="00CD0E7B"/>
    <w:rsid w:val="00CD2ABD"/>
    <w:rsid w:val="00CD4024"/>
    <w:rsid w:val="00CD4617"/>
    <w:rsid w:val="00CD4855"/>
    <w:rsid w:val="00CE2707"/>
    <w:rsid w:val="00CE2D6E"/>
    <w:rsid w:val="00CE47E7"/>
    <w:rsid w:val="00CE4B61"/>
    <w:rsid w:val="00CE6AEA"/>
    <w:rsid w:val="00CE6D43"/>
    <w:rsid w:val="00CE7888"/>
    <w:rsid w:val="00D00D75"/>
    <w:rsid w:val="00D10E1C"/>
    <w:rsid w:val="00D161A3"/>
    <w:rsid w:val="00D17B52"/>
    <w:rsid w:val="00D22E49"/>
    <w:rsid w:val="00D23716"/>
    <w:rsid w:val="00D23F84"/>
    <w:rsid w:val="00D25ED8"/>
    <w:rsid w:val="00D2795F"/>
    <w:rsid w:val="00D27A22"/>
    <w:rsid w:val="00D27F8F"/>
    <w:rsid w:val="00D316B8"/>
    <w:rsid w:val="00D31CFC"/>
    <w:rsid w:val="00D3255D"/>
    <w:rsid w:val="00D340C3"/>
    <w:rsid w:val="00D36206"/>
    <w:rsid w:val="00D409CD"/>
    <w:rsid w:val="00D423D4"/>
    <w:rsid w:val="00D42CAF"/>
    <w:rsid w:val="00D43CEF"/>
    <w:rsid w:val="00D5310F"/>
    <w:rsid w:val="00D601EF"/>
    <w:rsid w:val="00D61533"/>
    <w:rsid w:val="00D63B2F"/>
    <w:rsid w:val="00D66F2F"/>
    <w:rsid w:val="00D70747"/>
    <w:rsid w:val="00D7261D"/>
    <w:rsid w:val="00D755FC"/>
    <w:rsid w:val="00D76B6D"/>
    <w:rsid w:val="00D84D07"/>
    <w:rsid w:val="00D8526A"/>
    <w:rsid w:val="00D90E91"/>
    <w:rsid w:val="00D914D7"/>
    <w:rsid w:val="00D938F6"/>
    <w:rsid w:val="00D94FB4"/>
    <w:rsid w:val="00DB60E1"/>
    <w:rsid w:val="00DC1347"/>
    <w:rsid w:val="00DC39F1"/>
    <w:rsid w:val="00DD5640"/>
    <w:rsid w:val="00DE01D8"/>
    <w:rsid w:val="00DE4B35"/>
    <w:rsid w:val="00DF19C1"/>
    <w:rsid w:val="00DF54CA"/>
    <w:rsid w:val="00DF56C9"/>
    <w:rsid w:val="00DF5930"/>
    <w:rsid w:val="00DF5B64"/>
    <w:rsid w:val="00E0244A"/>
    <w:rsid w:val="00E02794"/>
    <w:rsid w:val="00E043E3"/>
    <w:rsid w:val="00E0505B"/>
    <w:rsid w:val="00E052FB"/>
    <w:rsid w:val="00E11280"/>
    <w:rsid w:val="00E12359"/>
    <w:rsid w:val="00E152FF"/>
    <w:rsid w:val="00E2461B"/>
    <w:rsid w:val="00E24886"/>
    <w:rsid w:val="00E276FB"/>
    <w:rsid w:val="00E30212"/>
    <w:rsid w:val="00E315FB"/>
    <w:rsid w:val="00E32595"/>
    <w:rsid w:val="00E32DC6"/>
    <w:rsid w:val="00E33A74"/>
    <w:rsid w:val="00E363DE"/>
    <w:rsid w:val="00E4030B"/>
    <w:rsid w:val="00E41D56"/>
    <w:rsid w:val="00E457DF"/>
    <w:rsid w:val="00E46642"/>
    <w:rsid w:val="00E5139A"/>
    <w:rsid w:val="00E53DB9"/>
    <w:rsid w:val="00E5413D"/>
    <w:rsid w:val="00E57977"/>
    <w:rsid w:val="00E606C4"/>
    <w:rsid w:val="00E6263B"/>
    <w:rsid w:val="00E635D7"/>
    <w:rsid w:val="00E64E71"/>
    <w:rsid w:val="00E66C90"/>
    <w:rsid w:val="00E70576"/>
    <w:rsid w:val="00E71DED"/>
    <w:rsid w:val="00E831E5"/>
    <w:rsid w:val="00E83954"/>
    <w:rsid w:val="00E86506"/>
    <w:rsid w:val="00E9031C"/>
    <w:rsid w:val="00E91730"/>
    <w:rsid w:val="00E9300E"/>
    <w:rsid w:val="00E96F04"/>
    <w:rsid w:val="00E97AEC"/>
    <w:rsid w:val="00EA20FE"/>
    <w:rsid w:val="00EB491E"/>
    <w:rsid w:val="00EB681B"/>
    <w:rsid w:val="00EC4FAD"/>
    <w:rsid w:val="00EE3CFA"/>
    <w:rsid w:val="00EE69E4"/>
    <w:rsid w:val="00EE795D"/>
    <w:rsid w:val="00EF23CF"/>
    <w:rsid w:val="00EF2A7F"/>
    <w:rsid w:val="00EF7E90"/>
    <w:rsid w:val="00F002B6"/>
    <w:rsid w:val="00F039FF"/>
    <w:rsid w:val="00F10AFE"/>
    <w:rsid w:val="00F14265"/>
    <w:rsid w:val="00F14ED6"/>
    <w:rsid w:val="00F15C6C"/>
    <w:rsid w:val="00F17173"/>
    <w:rsid w:val="00F20987"/>
    <w:rsid w:val="00F22339"/>
    <w:rsid w:val="00F224DC"/>
    <w:rsid w:val="00F2687F"/>
    <w:rsid w:val="00F26A5E"/>
    <w:rsid w:val="00F27F29"/>
    <w:rsid w:val="00F32D54"/>
    <w:rsid w:val="00F36C54"/>
    <w:rsid w:val="00F418EA"/>
    <w:rsid w:val="00F41A29"/>
    <w:rsid w:val="00F44C1C"/>
    <w:rsid w:val="00F45603"/>
    <w:rsid w:val="00F518DF"/>
    <w:rsid w:val="00F544DB"/>
    <w:rsid w:val="00F62C4E"/>
    <w:rsid w:val="00F648EA"/>
    <w:rsid w:val="00F6502E"/>
    <w:rsid w:val="00F65663"/>
    <w:rsid w:val="00F74151"/>
    <w:rsid w:val="00F75147"/>
    <w:rsid w:val="00F756C0"/>
    <w:rsid w:val="00F75A40"/>
    <w:rsid w:val="00F77637"/>
    <w:rsid w:val="00F81B1C"/>
    <w:rsid w:val="00F82668"/>
    <w:rsid w:val="00F8435D"/>
    <w:rsid w:val="00F862E5"/>
    <w:rsid w:val="00F87815"/>
    <w:rsid w:val="00F87DD0"/>
    <w:rsid w:val="00F93360"/>
    <w:rsid w:val="00F93FE4"/>
    <w:rsid w:val="00F94432"/>
    <w:rsid w:val="00F97E4E"/>
    <w:rsid w:val="00FA1A40"/>
    <w:rsid w:val="00FA217B"/>
    <w:rsid w:val="00FB0BC5"/>
    <w:rsid w:val="00FB0BCC"/>
    <w:rsid w:val="00FB2AF9"/>
    <w:rsid w:val="00FB3EA7"/>
    <w:rsid w:val="00FC0FE5"/>
    <w:rsid w:val="00FC6007"/>
    <w:rsid w:val="00FD1ABC"/>
    <w:rsid w:val="00FD7DDF"/>
    <w:rsid w:val="00FE4C92"/>
    <w:rsid w:val="00FE7898"/>
    <w:rsid w:val="00FF0FAA"/>
    <w:rsid w:val="00FF3759"/>
    <w:rsid w:val="00FF4396"/>
    <w:rsid w:val="03385E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3BE568"/>
  <w15:docId w15:val="{8F05648F-89C7-461D-8219-81416C35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ind w:left="567" w:hanging="567"/>
      <w:outlineLvl w:val="0"/>
    </w:pPr>
    <w:rPr>
      <w:kern w:val="28"/>
    </w:rPr>
  </w:style>
  <w:style w:type="paragraph" w:styleId="Heading2">
    <w:name w:val="heading 2"/>
    <w:basedOn w:val="Normal"/>
    <w:next w:val="Normal"/>
    <w:link w:val="Heading2Char"/>
    <w:qFormat/>
    <w:rsid w:val="007E50BF"/>
    <w:pPr>
      <w:numPr>
        <w:ilvl w:val="1"/>
        <w:numId w:val="1"/>
      </w:numPr>
      <w:ind w:left="567" w:hanging="567"/>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n-US" w:eastAsia="en-US" w:bidi="ar-SA"/>
    </w:rPr>
  </w:style>
  <w:style w:type="character" w:customStyle="1" w:styleId="Heading2Char">
    <w:name w:val="Heading 2 Char"/>
    <w:basedOn w:val="DefaultParagraphFont"/>
    <w:link w:val="Heading2"/>
    <w:locked/>
    <w:rsid w:val="00CB1536"/>
    <w:rPr>
      <w:lang w:val="en-US" w:eastAsia="en-US" w:bidi="ar-SA"/>
    </w:rPr>
  </w:style>
  <w:style w:type="character" w:customStyle="1" w:styleId="Heading3Char">
    <w:name w:val="Heading 3 Char"/>
    <w:basedOn w:val="DefaultParagraphFont"/>
    <w:link w:val="Heading3"/>
    <w:locked/>
    <w:rsid w:val="00CB1536"/>
    <w:rPr>
      <w:lang w:val="en-US" w:eastAsia="en-US" w:bidi="ar-SA"/>
    </w:rPr>
  </w:style>
  <w:style w:type="character" w:customStyle="1" w:styleId="Heading4Char">
    <w:name w:val="Heading 4 Char"/>
    <w:basedOn w:val="DefaultParagraphFont"/>
    <w:link w:val="Heading4"/>
    <w:locked/>
    <w:rsid w:val="00CB1536"/>
    <w:rPr>
      <w:lang w:val="en-US" w:eastAsia="en-US" w:bidi="ar-SA"/>
    </w:rPr>
  </w:style>
  <w:style w:type="character" w:customStyle="1" w:styleId="Heading5Char">
    <w:name w:val="Heading 5 Char"/>
    <w:basedOn w:val="DefaultParagraphFont"/>
    <w:link w:val="Heading5"/>
    <w:locked/>
    <w:rsid w:val="00CB1536"/>
    <w:rPr>
      <w:lang w:val="en-US" w:eastAsia="en-US" w:bidi="ar-SA"/>
    </w:rPr>
  </w:style>
  <w:style w:type="character" w:customStyle="1" w:styleId="Heading6Char">
    <w:name w:val="Heading 6 Char"/>
    <w:basedOn w:val="DefaultParagraphFont"/>
    <w:link w:val="Heading6"/>
    <w:locked/>
    <w:rsid w:val="00CB1536"/>
    <w:rPr>
      <w:lang w:val="en-US" w:eastAsia="en-US" w:bidi="ar-SA"/>
    </w:rPr>
  </w:style>
  <w:style w:type="character" w:customStyle="1" w:styleId="Heading7Char">
    <w:name w:val="Heading 7 Char"/>
    <w:basedOn w:val="DefaultParagraphFont"/>
    <w:link w:val="Heading7"/>
    <w:locked/>
    <w:rsid w:val="00CB1536"/>
    <w:rPr>
      <w:lang w:val="en-US" w:eastAsia="en-US" w:bidi="ar-SA"/>
    </w:rPr>
  </w:style>
  <w:style w:type="character" w:customStyle="1" w:styleId="Heading8Char">
    <w:name w:val="Heading 8 Char"/>
    <w:basedOn w:val="DefaultParagraphFont"/>
    <w:link w:val="Heading8"/>
    <w:locked/>
    <w:rsid w:val="00CB1536"/>
    <w:rPr>
      <w:lang w:val="en-US" w:eastAsia="en-US" w:bidi="ar-SA"/>
    </w:rPr>
  </w:style>
  <w:style w:type="character" w:customStyle="1" w:styleId="Heading9Char">
    <w:name w:val="Heading 9 Char"/>
    <w:basedOn w:val="DefaultParagraphFont"/>
    <w:link w:val="Heading9"/>
    <w:locked/>
    <w:rsid w:val="00CB1536"/>
    <w:rPr>
      <w:lang w:val="en-US"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n-US"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7E50BF"/>
    <w:pPr>
      <w:ind w:left="720"/>
    </w:pPr>
    <w:rPr>
      <w:i/>
    </w:rPr>
  </w:style>
  <w:style w:type="table" w:styleId="TableGrid">
    <w:name w:val="Table Grid"/>
    <w:basedOn w:val="TableNormal"/>
    <w:locked/>
    <w:rsid w:val="002D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E2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t@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C/2025/3190/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A6WAAD5KZT2Q-293470456-14953</_dlc_DocId>
    <_dlc_DocIdUrl xmlns="1a33af13-4045-4f88-9d7b-618e30f79918">
      <Url>http://dm/eesc/2025/_layouts/15/DocIdRedir.aspx?ID=A6WAAD5KZT2Q-293470456-14953</Url>
      <Description>A6WAAD5KZT2Q-293470456-14953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PA</TermName>
          <TermId xmlns="http://schemas.microsoft.com/office/infopath/2007/PartnerControls">ef6fd07e-7d84-45ad-8a75-9a9414a8759c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2025-11-06T12:00:00+00:00</ProductionDate>
    <FicheYear xmlns="1a33af13-4045-4f88-9d7b-618e30f79918" xsi:nil="true"/>
    <DocumentNumber xmlns="aa382cf6-584e-4bd2-bd73-0bac1a20efcb">1859</DocumentNumber>
    <DossierNumber xmlns="1a33af13-4045-4f88-9d7b-618e30f79918">1094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2025-11-14T12:00:00+00:00</MeetingDate>
    <TaxCatchAll xmlns="1a33af13-4045-4f88-9d7b-618e30f79918">
      <Value>74</Value>
      <Value>51</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13</Value>
      <Value>12</Value>
      <Value>99</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PAGLIARA &amp; GUERINI &amp; PROUZET</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296183</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 xsi:nil="true"/>
    <RequestingService xmlns="1a33af13-4045-4f88-9d7b-618e30f79918">Marché unique, production, consommation</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7a7bdbd3-7680-4ca3-a249-1ff8060217b0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1a33af13-4045-4f88-9d7b-618e30f79918">1</DocumentVersion>
  </documentManagement>
</p:properties>
</file>

<file path=customXml/itemProps1.xml><?xml version="1.0" encoding="utf-8"?>
<ds:datastoreItem xmlns:ds="http://schemas.openxmlformats.org/officeDocument/2006/customXml" ds:itemID="{C1D8FFE8-7F4C-4021-9DEB-AA0239A04C8F}">
  <ds:schemaRefs>
    <ds:schemaRef ds:uri="http://schemas.microsoft.com/sharepoint/v3/contenttype/forms"/>
  </ds:schemaRefs>
</ds:datastoreItem>
</file>

<file path=customXml/itemProps2.xml><?xml version="1.0" encoding="utf-8"?>
<ds:datastoreItem xmlns:ds="http://schemas.openxmlformats.org/officeDocument/2006/customXml" ds:itemID="{F895AD40-305B-4F22-85D7-66F31F6FA764}">
  <ds:schemaRefs>
    <ds:schemaRef ds:uri="http://schemas.microsoft.com/sharepoint/events"/>
  </ds:schemaRefs>
</ds:datastoreItem>
</file>

<file path=customXml/itemProps3.xml><?xml version="1.0" encoding="utf-8"?>
<ds:datastoreItem xmlns:ds="http://schemas.openxmlformats.org/officeDocument/2006/customXml" ds:itemID="{FC736B75-2C29-473F-BC66-6C89AF3A1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3af13-4045-4f88-9d7b-618e30f79918"/>
    <ds:schemaRef ds:uri="http://schemas.microsoft.com/sharepoint/v3/fields"/>
    <ds:schemaRef ds:uri="aa382cf6-584e-4bd2-bd73-0bac1a20e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6C7D4-CB17-44DD-8ACA-0A952ED0ACAB}">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a382cf6-584e-4bd2-bd73-0bac1a20ef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3323</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Single Market Strategy</vt:lpstr>
    </vt:vector>
  </TitlesOfParts>
  <Manager/>
  <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Market Strategy</dc:title>
  <dc:subject>Draft opinion</dc:subject>
  <dc:creator/>
  <cp:keywords>EESC-2025-01859-00-01-PA-TRA-EN</cp:keywords>
  <dc:description>Rapporteur: - PAGLIARA &amp; GUERINI &amp; PROUZET Original language: - EN Date of document: - 06/11/2025 Date of meeting: - 14/11/2025 External documents: - COM(2025)500- final Administrator responsible: -  TESSAROLO ANNALISA</dc:description>
  <cp:lastModifiedBy/>
  <cp:revision>1</cp:revision>
  <cp:lastPrinted>2016-01-26T08:31:00Z</cp:lastPrinted>
  <dcterms:created xsi:type="dcterms:W3CDTF">2025-11-06T10:56:00Z</dcterms:created>
  <dcterms:modified xsi:type="dcterms:W3CDTF">2025-11-06T10:59:00Z</dcterms:modified>
  <cp:category>INT/1094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06/11/2025, 21/10/2025, 08/09/2025, 19/06/2025, 12/04/2024, 17/05/2022, 04/11/2015, 27/10/2015, 19/10/2015, 09/10/2015, 05/10/2015, 05/10/2015, 26/08/2015, 26/08/2015, 25/08/2015</vt:lpwstr>
  </property>
  <property fmtid="{D5CDD505-2E9C-101B-9397-08002B2CF9AE}" pid="4" name="Pref_Time">
    <vt:lpwstr>11:56:35, 14:46:08, 10:56:09, 14:20:50, 12:08:09, 12:59:17, 12/10/07, 14:44:02, 16/04/16, 14:09:30, 16:24:55, 16:04:02, 08:56:14, 07:27:56, 17:31:53</vt:lpwstr>
  </property>
  <property fmtid="{D5CDD505-2E9C-101B-9397-08002B2CF9AE}" pid="5" name="Pref_User">
    <vt:lpwstr>pacup, jhvi, pacup, nnas, enied, enied, ssex, enied, amett, tvoc, mreg, mreg, amett, enied, ssex</vt:lpwstr>
  </property>
  <property fmtid="{D5CDD505-2E9C-101B-9397-08002B2CF9AE}" pid="6" name="Pref_FileName">
    <vt:lpwstr>EESC-2025-01859-00-01-PA-TRA-EN-CRR.docx, EESC-2025-01859-00-00-PA-ORI.docx, EESC-2025-01859-00-00-APA-ORI.docx, EESC-2025-01859-00-00-DT-ORI.docx, COR-EESC-2024-01326-00-00-ADMIN-ORI.docx, COR-EESC-2022-02586-00-00-ADMIN-ORI.docx, EESC-2015-05408-00-00-P</vt:lpwstr>
  </property>
  <property fmtid="{D5CDD505-2E9C-101B-9397-08002B2CF9AE}" pid="7" name="ContentTypeId">
    <vt:lpwstr>0x010100EA97B91038054C99906057A708A1480A00FD26272E6D350E4BA98D090F484731A0</vt:lpwstr>
  </property>
  <property fmtid="{D5CDD505-2E9C-101B-9397-08002B2CF9AE}" pid="8" name="_dlc_DocIdItemGuid">
    <vt:lpwstr>2b3e731a-73df-4858-8f63-6c85613c01f0</vt:lpwstr>
  </property>
  <property fmtid="{D5CDD505-2E9C-101B-9397-08002B2CF9AE}" pid="9" name="AvailableTranslations">
    <vt:lpwstr>30;#LT|a7ff5ce7-6123-4f68-865a-a57c31810414;#28;#SV|c2ed69e7-a339-43d7-8f22-d93680a92aa0;#50;#HR|2f555653-ed1a-4fe6-8362-9082d95989e5;#42;#EL|6d4f4d51-af9b-4650-94b4-4276bee85c91;#43;#GA|762d2456-c427-4ecb-b312-af3dad8e258c;#35;#FI|87606a43-d45f-42d6-b8c9-e1a3457db5b7;#39;#LV|46f7e311-5d9f-4663-b433-18aeccb7ace7;#23;#DE|f6b31e5a-26fa-4935-b661-318e46daf27e;#27;#NL|55c6556c-b4f4-441d-9acf-c498d4f838bd;#33;#PT|50ccc04a-eadd-42ae-a0cb-acaf45f812ba;#29;#CS|72f9705b-0217-4fd3-bea2-cbc7ed80e26e;#5;#EN|f2175f21-25d7-44a3-96da-d6a61b075e1b;#31;#SL|98a412ae-eb01-49e9-ae3d-585a81724cfc;#32;#MT|7df99101-6854-4a26-b53a-b88c0da02c26;#47;#BG|1a1b3951-7821-4e6a-85f5-5673fc08bd2c;#37;#HU|6b229040-c589-4408-b4c1-4285663d20a8;#40;#DA|5d49c027-8956-412b-aa16-e85a0f96ad0e;#36;#RO|feb747a2-64cd-4299-af12-4833ddc30497;#16;#ES|e7a6b05b-ae16-40c8-add9-68b64b03aeba;#41;#ET|ff6c3f4c-b02c-4c3c-ab07-2c37995a7a0a;#24;#PL|1e03da61-4678-4e07-b136-b5024ca9197b;#46;#SK|46d9fce0-ef79-4f71-b89b-cd6aa82426b8;#34;#IT|0774613c-01ed-4e5d-a25d-11d2388de825;#12;#FR|d2afafd3-4c81-4f60-8f52-ee33f2f54ff3</vt:lpwstr>
  </property>
  <property fmtid="{D5CDD505-2E9C-101B-9397-08002B2CF9AE}" pid="10" name="DocumentType_0">
    <vt:lpwstr>PA|ef6fd07e-7d84-45ad-8a75-9a9414a8759c</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1859</vt:i4>
  </property>
  <property fmtid="{D5CDD505-2E9C-101B-9397-08002B2CF9AE}" pid="14" name="FicheYear">
    <vt:i4>2025</vt:i4>
  </property>
  <property fmtid="{D5CDD505-2E9C-101B-9397-08002B2CF9AE}" pid="15" name="DocumentVersion">
    <vt:i4>1</vt:i4>
  </property>
  <property fmtid="{D5CDD505-2E9C-101B-9397-08002B2CF9AE}" pid="16" name="DossierNumber">
    <vt:i4>1094</vt:i4>
  </property>
  <property fmtid="{D5CDD505-2E9C-101B-9397-08002B2CF9AE}" pid="17" name="DocumentStatus">
    <vt:lpwstr>13;#TRA|150d2a88-1431-44e6-a8ca-0bb753ab8672</vt:lpwstr>
  </property>
  <property fmtid="{D5CDD505-2E9C-101B-9397-08002B2CF9AE}" pid="18" name="DossierName">
    <vt:lpwstr>51;#INT|e1edfecb-ed43-427b-bb02-d45fe6645386</vt:lpwstr>
  </property>
  <property fmtid="{D5CDD505-2E9C-101B-9397-08002B2CF9AE}" pid="19" name="RequestingService">
    <vt:lpwstr>Marché unique, production, consommation</vt:lpwstr>
  </property>
  <property fmtid="{D5CDD505-2E9C-101B-9397-08002B2CF9AE}" pid="20" name="Confidentiality">
    <vt:lpwstr>15;#Unrestricted|826e22d7-d029-4ec0-a450-0c28ff673572</vt:lpwstr>
  </property>
  <property fmtid="{D5CDD505-2E9C-101B-9397-08002B2CF9AE}" pid="21" name="MeetingName_0">
    <vt:lpwstr>INT|7a7bdbd3-7680-4ca3-a249-1ff8060217b0</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74;#INT|7a7bdbd3-7680-4ca3-a249-1ff8060217b0</vt:lpwstr>
  </property>
  <property fmtid="{D5CDD505-2E9C-101B-9397-08002B2CF9AE}" pid="25" name="MeetingDate">
    <vt:filetime>2025-11-14T12:00:00Z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15;#Unrestricted|826e22d7-d029-4ec0-a450-0c28ff673572;#99;#PA|ef6fd07e-7d84-45ad-8a75-9a9414a8759c;#13;#TRA|150d2a88-1431-44e6-a8ca-0bb753ab8672;#8;#Final|ea5e6674-7b27-4bac-b091-73adbb394efe;#74;#INT|7a7bdbd3-7680-4ca3-a249-1ff8060217b0;#5;#EN|f2175f21-25d7-44a3-96da-d6a61b075e1b;#1;#EESC|422833ec-8d7e-4e65-8e4e-8bed07ffb729;#51;#INT|e1edfecb-ed43-427b-bb02-d45fe6645386</vt:lpwstr>
  </property>
  <property fmtid="{D5CDD505-2E9C-101B-9397-08002B2CF9AE}" pid="30" name="Rapporteur">
    <vt:lpwstr>PAGLIARA &amp; GUERINI &amp; PROUZET</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10537</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DocumentType">
    <vt:lpwstr>99;#PA|ef6fd07e-7d84-45ad-8a75-9a9414a8759c</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